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BB" w:rsidRDefault="005674BB" w:rsidP="00EA377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ZAPYTANIE O SZACUNKOWĄ WARTOŚĆ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4BB" w:rsidRPr="00DA1222" w:rsidTr="00596C73">
        <w:trPr>
          <w:trHeight w:val="583"/>
        </w:trPr>
        <w:tc>
          <w:tcPr>
            <w:tcW w:w="9062" w:type="dxa"/>
            <w:shd w:val="clear" w:color="auto" w:fill="D9D9D9"/>
            <w:vAlign w:val="center"/>
          </w:tcPr>
          <w:p w:rsidR="005674BB" w:rsidRPr="00DA1222" w:rsidRDefault="005674BB" w:rsidP="00596C73">
            <w:pPr>
              <w:tabs>
                <w:tab w:val="num" w:pos="742"/>
              </w:tabs>
              <w:autoSpaceDE w:val="0"/>
              <w:autoSpaceDN w:val="0"/>
              <w:spacing w:before="60" w:after="60" w:line="240" w:lineRule="auto"/>
              <w:rPr>
                <w:rFonts w:ascii="Calibri" w:hAnsi="Calibri" w:cs="Calibri"/>
                <w:b/>
                <w:bCs/>
                <w:sz w:val="32"/>
                <w:szCs w:val="28"/>
              </w:rPr>
            </w:pPr>
            <w:r w:rsidRPr="00DA1222">
              <w:rPr>
                <w:rFonts w:ascii="Calibri" w:hAnsi="Calibri" w:cs="Calibri"/>
                <w:b/>
                <w:bCs/>
                <w:sz w:val="24"/>
              </w:rPr>
              <w:t>Kody CPV:</w:t>
            </w:r>
          </w:p>
        </w:tc>
      </w:tr>
    </w:tbl>
    <w:p w:rsidR="005674BB" w:rsidRPr="005674BB" w:rsidRDefault="005674BB" w:rsidP="005674BB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4BB">
        <w:rPr>
          <w:rFonts w:ascii="Arial" w:eastAsia="Times New Roman" w:hAnsi="Arial" w:cs="Arial"/>
          <w:sz w:val="20"/>
          <w:szCs w:val="20"/>
          <w:lang w:eastAsia="pl-PL"/>
        </w:rPr>
        <w:t xml:space="preserve">  7351900-2 – Usługi geologiczne, oceanograficzne i hydrologiczne</w:t>
      </w:r>
    </w:p>
    <w:p w:rsidR="005674BB" w:rsidRPr="005674BB" w:rsidRDefault="005674BB" w:rsidP="005674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4BB">
        <w:rPr>
          <w:rFonts w:ascii="Arial" w:eastAsia="Times New Roman" w:hAnsi="Arial" w:cs="Arial"/>
          <w:sz w:val="20"/>
          <w:szCs w:val="20"/>
          <w:lang w:eastAsia="pl-PL"/>
        </w:rPr>
        <w:t>71351000-3 – Usługi planowania geologicznego, geofizycznego i inne usługi naukowe</w:t>
      </w:r>
    </w:p>
    <w:p w:rsidR="005674BB" w:rsidRDefault="005674BB" w:rsidP="005674B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674BB">
        <w:rPr>
          <w:rFonts w:ascii="Arial" w:eastAsia="Times New Roman" w:hAnsi="Arial" w:cs="Arial"/>
          <w:sz w:val="20"/>
          <w:szCs w:val="20"/>
          <w:lang w:eastAsia="pl-PL"/>
        </w:rPr>
        <w:t>98133100-5</w:t>
      </w:r>
      <w:r w:rsidRPr="005674BB">
        <w:rPr>
          <w:rFonts w:ascii="Arial" w:eastAsia="Times New Roman" w:hAnsi="Arial" w:cs="Arial"/>
          <w:spacing w:val="-10"/>
          <w:sz w:val="20"/>
          <w:szCs w:val="20"/>
          <w:lang w:eastAsia="pl-PL"/>
        </w:rPr>
        <w:t xml:space="preserve"> – Usługi w zakresie poprawy oraz wspierania administracji samorządowej i wspólnot samorządowych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4BB" w:rsidRPr="00C16193" w:rsidTr="00596C73">
        <w:trPr>
          <w:trHeight w:val="583"/>
        </w:trPr>
        <w:tc>
          <w:tcPr>
            <w:tcW w:w="9062" w:type="dxa"/>
            <w:shd w:val="clear" w:color="auto" w:fill="D9D9D9"/>
            <w:vAlign w:val="center"/>
          </w:tcPr>
          <w:p w:rsidR="005674BB" w:rsidRPr="00C16193" w:rsidRDefault="005674BB" w:rsidP="00596C73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C16193">
              <w:rPr>
                <w:rFonts w:ascii="Arial" w:hAnsi="Arial" w:cs="Arial"/>
                <w:b/>
              </w:rPr>
              <w:t xml:space="preserve">Przedmiotem zamówienia </w:t>
            </w:r>
            <w:r>
              <w:rPr>
                <w:rFonts w:ascii="Arial" w:hAnsi="Arial" w:cs="Arial"/>
                <w:b/>
              </w:rPr>
              <w:t>będzie opracowanie dokumentu zawierającego</w:t>
            </w:r>
            <w:r w:rsidRPr="00C16193">
              <w:rPr>
                <w:rFonts w:ascii="Arial" w:hAnsi="Arial" w:cs="Arial"/>
                <w:b/>
              </w:rPr>
              <w:t>:</w:t>
            </w:r>
          </w:p>
        </w:tc>
      </w:tr>
    </w:tbl>
    <w:p w:rsidR="00EA377E" w:rsidRPr="00C16193" w:rsidRDefault="003650F2" w:rsidP="00EA377E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Wskazanie</w:t>
      </w:r>
      <w:r w:rsidR="00EA377E" w:rsidRPr="00C161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źródeł zasilania oraz zlewni udokumentowanych złóż torfu leczniczego (borowiny) Kołobrzeg I (złoże południowe) oraz Kołobrzeg II (złoże północne)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br/>
        <w:t>a także wskazanie zagrożeń oraz</w:t>
      </w:r>
      <w:r w:rsidR="00FD43C3" w:rsidRPr="00C161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wyznaczenie </w:t>
      </w:r>
      <w:r w:rsidRPr="00C161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ewentualn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ych</w:t>
      </w:r>
      <w:r w:rsidRPr="00C161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stref</w:t>
      </w:r>
      <w:r w:rsidR="00FD43C3" w:rsidRPr="00C16193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tzw. ochronn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ych</w:t>
      </w:r>
      <w:r w:rsidR="00EB339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złóż</w:t>
      </w:r>
    </w:p>
    <w:p w:rsidR="003650F2" w:rsidRDefault="003650F2" w:rsidP="003650F2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65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W związku z trwającymi procedurami planistycznymi obejmującymi tereny zlokalizowane w sąsiedztwie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udokumentowan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>
        <w:rPr>
          <w:rFonts w:ascii="Arial" w:eastAsia="Times New Roman" w:hAnsi="Arial" w:cs="Arial"/>
          <w:sz w:val="20"/>
          <w:szCs w:val="20"/>
          <w:lang w:eastAsia="pl-PL"/>
        </w:rPr>
        <w:t>óż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torfu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leczniczego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, miasto widzi potrzebę przeanalizowania możliwości zagospodarowania tych terenów tak, aby nie dopuścić do degradacji cennych zasobów </w:t>
      </w:r>
      <w:r>
        <w:rPr>
          <w:rFonts w:ascii="Arial" w:eastAsia="Times New Roman" w:hAnsi="Arial" w:cs="Arial"/>
          <w:sz w:val="20"/>
          <w:szCs w:val="20"/>
          <w:lang w:eastAsia="pl-PL"/>
        </w:rPr>
        <w:t>borowiny.</w:t>
      </w:r>
    </w:p>
    <w:p w:rsidR="003650F2" w:rsidRDefault="003650F2" w:rsidP="003650F2">
      <w:pPr>
        <w:shd w:val="clear" w:color="auto" w:fill="FFFFFF"/>
        <w:spacing w:after="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czekuje się w ramach niniejszego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opracowania wskazania źródeł zasilania złóż, 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wyznaczenia granic zlewni topograficznej oraz zlewni hydrologicznej wód zasilających złoż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, analizy istniejącej melioracji terenu, budowy geologicznej, czy aktualnego sposobu zagospodarowania pod kątem wpływu na ww. złoża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 także wskazania i oceny zagrożeń dla ww. złóż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Analiza powinna jednoznacznie wskazać, czy jest konieczne wyznaczenie wokół zł</w:t>
      </w:r>
      <w:r>
        <w:rPr>
          <w:rFonts w:ascii="Arial" w:eastAsia="Times New Roman" w:hAnsi="Arial" w:cs="Arial"/>
          <w:sz w:val="20"/>
          <w:szCs w:val="20"/>
          <w:lang w:eastAsia="pl-PL"/>
        </w:rPr>
        <w:t>óż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terenów bez możliwości zabudowy lub o ograniczonych możliwościach zagospodarowania, w tym zabudowy, oraz gdzie przebiega</w:t>
      </w:r>
      <w:r>
        <w:rPr>
          <w:rFonts w:ascii="Arial" w:eastAsia="Times New Roman" w:hAnsi="Arial" w:cs="Arial"/>
          <w:sz w:val="20"/>
          <w:szCs w:val="20"/>
          <w:lang w:eastAsia="pl-PL"/>
        </w:rPr>
        <w:t>ć mia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ł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by ewe</w:t>
      </w:r>
      <w:r>
        <w:rPr>
          <w:rFonts w:ascii="Arial" w:eastAsia="Times New Roman" w:hAnsi="Arial" w:cs="Arial"/>
          <w:sz w:val="20"/>
          <w:szCs w:val="20"/>
          <w:lang w:eastAsia="pl-PL"/>
        </w:rPr>
        <w:t>ntualne granice ww. ograniczeń. Tzw. s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tref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ochronn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powinn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być wyznaczon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na podstawie wiedzy i doświadczenia Wykonawcy (wybranej przez Wykonawcy metodyki)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3650F2" w:rsidRDefault="003650F2" w:rsidP="003650F2">
      <w:pPr>
        <w:shd w:val="clear" w:color="auto" w:fill="FFFFFF"/>
        <w:spacing w:after="120" w:line="240" w:lineRule="auto"/>
        <w:ind w:firstLine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lang w:eastAsia="pl-PL"/>
        </w:rPr>
        <w:t>Określenie zakresu przestrzennego dokonywanych analiz powinno zostać określone przez Wykonawcę samodzielnie, jednakże w zakresie nie mniejszym niż granice ww. zlewni wód zasilających złoża borowiny.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77E" w:rsidRPr="00C16193" w:rsidTr="003650F2">
        <w:trPr>
          <w:trHeight w:val="583"/>
        </w:trPr>
        <w:tc>
          <w:tcPr>
            <w:tcW w:w="9062" w:type="dxa"/>
            <w:shd w:val="clear" w:color="auto" w:fill="D9D9D9"/>
            <w:vAlign w:val="center"/>
          </w:tcPr>
          <w:p w:rsidR="00EA377E" w:rsidRPr="00C16193" w:rsidRDefault="00EA377E" w:rsidP="003650F2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C16193">
              <w:rPr>
                <w:rFonts w:ascii="Arial" w:hAnsi="Arial" w:cs="Arial"/>
                <w:b/>
              </w:rPr>
              <w:t xml:space="preserve">Zakres zamówienia </w:t>
            </w:r>
            <w:r w:rsidR="003650F2">
              <w:rPr>
                <w:rFonts w:ascii="Arial" w:hAnsi="Arial" w:cs="Arial"/>
                <w:b/>
              </w:rPr>
              <w:t xml:space="preserve">będzie </w:t>
            </w:r>
            <w:r w:rsidRPr="00C16193">
              <w:rPr>
                <w:rFonts w:ascii="Arial" w:hAnsi="Arial" w:cs="Arial"/>
                <w:b/>
              </w:rPr>
              <w:t>obejm</w:t>
            </w:r>
            <w:r w:rsidR="003650F2">
              <w:rPr>
                <w:rFonts w:ascii="Arial" w:hAnsi="Arial" w:cs="Arial"/>
                <w:b/>
              </w:rPr>
              <w:t>ował</w:t>
            </w:r>
            <w:r w:rsidRPr="00C16193">
              <w:rPr>
                <w:rFonts w:ascii="Arial" w:hAnsi="Arial" w:cs="Arial"/>
                <w:b/>
              </w:rPr>
              <w:t>:</w:t>
            </w:r>
          </w:p>
        </w:tc>
      </w:tr>
    </w:tbl>
    <w:p w:rsidR="00EA377E" w:rsidRPr="00C16193" w:rsidRDefault="00A3712D" w:rsidP="005674BB">
      <w:pPr>
        <w:pStyle w:val="Akapitzlist"/>
        <w:numPr>
          <w:ilvl w:val="0"/>
          <w:numId w:val="2"/>
        </w:numPr>
        <w:spacing w:before="120" w:after="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lang w:eastAsia="pl-PL"/>
        </w:rPr>
        <w:t>Przedstawienie</w:t>
      </w:r>
      <w:r w:rsidR="00EA377E"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rekomendowanej przez Wykonawcę metodologii prowadzenia prac wraz z zarysem harmonogramu działań.</w:t>
      </w:r>
    </w:p>
    <w:p w:rsidR="00EA377E" w:rsidRPr="00C16193" w:rsidRDefault="00EA377E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Określenie zakresu przestrzennego dokonywanych analiz dla terenów sąsiadujących 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udokumentowanymi złożami torfu leczniczego (borowiny) Kołobrzeg I </w:t>
      </w:r>
      <w:proofErr w:type="spellStart"/>
      <w:r w:rsidRPr="00C1619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Kołobrzeg II, jednakże </w:t>
      </w:r>
      <w:r w:rsidR="003650F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w zakresie nie mniejszym niż granice zlewni wód zasilających złoża, niezbędnego dla prawidłowego wyznaczenia stref ochronnych.</w:t>
      </w:r>
    </w:p>
    <w:p w:rsidR="003650F2" w:rsidRDefault="003650F2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Wskazanie źródeł zasilania 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udokumentowany</w:t>
      </w:r>
      <w:r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>
        <w:rPr>
          <w:rFonts w:ascii="Arial" w:eastAsia="Times New Roman" w:hAnsi="Arial" w:cs="Arial"/>
          <w:sz w:val="20"/>
          <w:szCs w:val="20"/>
          <w:lang w:eastAsia="pl-PL"/>
        </w:rPr>
        <w:t>óż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torfu leczniczego (borowiny) Kołobrzeg I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i Kołobrzeg II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A377E" w:rsidRPr="00C16193" w:rsidRDefault="00EA377E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Wyznaczenie granic zlewni topograficznej oraz zlewni hydrologicznej wód zasilających udokumentowane złoża torfu leczniczego (borowiny) Kołobrzeg I </w:t>
      </w:r>
      <w:proofErr w:type="spellStart"/>
      <w:r w:rsidRPr="00C1619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Kołobrzeg II.</w:t>
      </w:r>
    </w:p>
    <w:p w:rsidR="00EA377E" w:rsidRPr="00C16193" w:rsidRDefault="003650F2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Przeprowadzenie m.</w:t>
      </w:r>
      <w:r w:rsidR="00EA377E" w:rsidRPr="00C16193">
        <w:rPr>
          <w:rFonts w:ascii="Arial" w:eastAsia="Times New Roman" w:hAnsi="Arial" w:cs="Arial"/>
          <w:sz w:val="20"/>
          <w:szCs w:val="20"/>
          <w:lang w:eastAsia="pl-PL"/>
        </w:rPr>
        <w:t>in. analizy istniejącej melioracji terenu, budowy geologicznej, czy aktualnego sposobu zagospodarowania pod kątem wpływu na ww. złoża.</w:t>
      </w:r>
    </w:p>
    <w:p w:rsidR="003650F2" w:rsidRPr="003650F2" w:rsidRDefault="003650F2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365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Analizę i ocenę zagrożeń dla</w:t>
      </w:r>
      <w:r w:rsidR="00E74851" w:rsidRPr="00E7485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>udokumentowany</w:t>
      </w:r>
      <w:r w:rsidR="00E74851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="00E74851">
        <w:rPr>
          <w:rFonts w:ascii="Arial" w:eastAsia="Times New Roman" w:hAnsi="Arial" w:cs="Arial"/>
          <w:sz w:val="20"/>
          <w:szCs w:val="20"/>
          <w:lang w:eastAsia="pl-PL"/>
        </w:rPr>
        <w:t xml:space="preserve">óż </w:t>
      </w:r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torfu leczniczego (borowiny) Kołobrzeg I </w:t>
      </w:r>
      <w:r w:rsidR="00E74851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Kołobrzeg II</w:t>
      </w:r>
      <w:r w:rsidR="00E74851" w:rsidRPr="00365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</w:t>
      </w:r>
      <w:r w:rsidRPr="003650F2">
        <w:rPr>
          <w:rFonts w:ascii="Arial" w:eastAsia="Times New Roman" w:hAnsi="Arial" w:cs="Arial"/>
          <w:spacing w:val="-4"/>
          <w:sz w:val="20"/>
          <w:szCs w:val="20"/>
          <w:lang w:eastAsia="pl-PL"/>
        </w:rPr>
        <w:t>na podstawie własnej wiedzy i doświadczeń Wykonawcy.</w:t>
      </w:r>
    </w:p>
    <w:p w:rsidR="00C16193" w:rsidRPr="00C16193" w:rsidRDefault="00EA377E" w:rsidP="005674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Określenie na podstawie przep</w:t>
      </w:r>
      <w:r w:rsidR="00E7485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rowadzonych analiz granic stref</w:t>
      </w:r>
      <w:r w:rsidRPr="00C1619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tzw. ochronn</w:t>
      </w:r>
      <w:r w:rsidR="00E74851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ych</w:t>
      </w:r>
      <w:r w:rsidRPr="00C1619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wokół udokumentowanych złóż torfu leczniczego (borowiny) Kołobrzeg I (złoże południowe) oraz Kołobrzeg II (złoże północne) w sposób opisowy i graficzny, wraz z opracowaniem wytycznych </w:t>
      </w:r>
      <w:r w:rsidR="003650F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br/>
      </w:r>
      <w:r w:rsidRPr="00C16193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dla proponowanej strefy dotyczących m</w:t>
      </w:r>
      <w:r w:rsidR="003650F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ożliwości jej zagospodarowania.</w:t>
      </w:r>
    </w:p>
    <w:p w:rsidR="00E74851" w:rsidRPr="00E74851" w:rsidRDefault="00E74851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E74851">
        <w:rPr>
          <w:rFonts w:ascii="Arial" w:eastAsia="Times New Roman" w:hAnsi="Arial" w:cs="Arial"/>
          <w:sz w:val="20"/>
          <w:szCs w:val="20"/>
          <w:lang w:eastAsia="pl-PL"/>
        </w:rPr>
        <w:t>ykonan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Pr="00E74851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pl-PL"/>
        </w:rPr>
        <w:t>map</w:t>
      </w:r>
      <w:r w:rsidRPr="00E74851">
        <w:rPr>
          <w:rFonts w:ascii="Arial" w:eastAsia="Times New Roman" w:hAnsi="Arial" w:cs="Arial"/>
          <w:sz w:val="20"/>
          <w:szCs w:val="20"/>
          <w:lang w:eastAsia="pl-PL"/>
        </w:rPr>
        <w:t xml:space="preserve"> w skali umożliwiającej ich bezproblemową czytelność, mapy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określającej granice </w:t>
      </w:r>
      <w:r w:rsidRPr="00E74851">
        <w:rPr>
          <w:rFonts w:ascii="Arial" w:eastAsia="Times New Roman" w:hAnsi="Arial" w:cs="Arial"/>
          <w:sz w:val="20"/>
          <w:szCs w:val="20"/>
          <w:lang w:eastAsia="pl-PL"/>
        </w:rPr>
        <w:t>stref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tzw. </w:t>
      </w:r>
      <w:r w:rsidRPr="00E74851">
        <w:rPr>
          <w:rFonts w:ascii="Arial" w:eastAsia="Times New Roman" w:hAnsi="Arial" w:cs="Arial"/>
          <w:sz w:val="20"/>
          <w:szCs w:val="20"/>
          <w:lang w:eastAsia="pl-PL"/>
        </w:rPr>
        <w:t>ochronny</w:t>
      </w:r>
      <w:r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Pr="00E74851">
        <w:rPr>
          <w:rFonts w:ascii="Arial" w:eastAsia="Times New Roman" w:hAnsi="Arial" w:cs="Arial"/>
          <w:sz w:val="20"/>
          <w:szCs w:val="20"/>
          <w:lang w:eastAsia="pl-PL"/>
        </w:rPr>
        <w:t xml:space="preserve"> w skali nie mniejszej niż 1:2000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E0923" w:rsidRPr="00C16193" w:rsidRDefault="00CE0923" w:rsidP="005674B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Wskazanie działań jakie należy podjąć w celu ochrony i monitorowania </w:t>
      </w:r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>udokumentowany</w:t>
      </w:r>
      <w:r w:rsidR="00E74851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="00E74851">
        <w:rPr>
          <w:rFonts w:ascii="Arial" w:eastAsia="Times New Roman" w:hAnsi="Arial" w:cs="Arial"/>
          <w:sz w:val="20"/>
          <w:szCs w:val="20"/>
          <w:lang w:eastAsia="pl-PL"/>
        </w:rPr>
        <w:t>óż</w:t>
      </w:r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torfu leczniczego (borowiny) Kołobrzeg I </w:t>
      </w:r>
      <w:proofErr w:type="spellStart"/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>i</w:t>
      </w:r>
      <w:proofErr w:type="spellEnd"/>
      <w:r w:rsidR="00E74851"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 Kołobrzeg II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A377E" w:rsidRPr="00C16193" w:rsidRDefault="00EA377E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lang w:eastAsia="pl-PL"/>
        </w:rPr>
        <w:t>Uczestnictwo w spotkaniach Komisji Rady Miasta i prezentacji dokumentów, udzielania odpowiedzi na uwagi i zapytania radnych (dokum</w:t>
      </w:r>
      <w:r w:rsidR="003650F2">
        <w:rPr>
          <w:rFonts w:ascii="Arial" w:eastAsia="Times New Roman" w:hAnsi="Arial" w:cs="Arial"/>
          <w:sz w:val="20"/>
          <w:szCs w:val="20"/>
          <w:lang w:eastAsia="pl-PL"/>
        </w:rPr>
        <w:t>ent ten zostanie przedłożony m.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in. Komisji Uzdrowiskowej oraz Komisji Komunalnej Rady Miasta Kołobrzeg).</w:t>
      </w:r>
    </w:p>
    <w:p w:rsidR="00EA377E" w:rsidRPr="005674BB" w:rsidRDefault="00EA377E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lang w:eastAsia="pl-PL"/>
        </w:rPr>
        <w:t>Odbywanie niezbędnych dla wykonania opracowania wizyt</w:t>
      </w:r>
      <w:r w:rsidR="003650F2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5674BB" w:rsidRPr="005674BB" w:rsidRDefault="005674BB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</w:t>
      </w: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rzekazywa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nie</w:t>
      </w: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wynik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ów</w:t>
      </w: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prowadzonych prac (do wglądu i na prośbę Zamawiającego).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P</w:t>
      </w: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rzed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kładanie,</w:t>
      </w: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n</w:t>
      </w: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a wezwanie Zamawiającego, pisemn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ej informacji</w:t>
      </w: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 o stanie zaawansowania prac oraz udziel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anie </w:t>
      </w: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wyjaśnień.</w:t>
      </w:r>
    </w:p>
    <w:p w:rsidR="005674BB" w:rsidRPr="005674BB" w:rsidRDefault="005674BB" w:rsidP="005674BB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Uwzględniani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 xml:space="preserve">e </w:t>
      </w:r>
      <w:r w:rsidRPr="005674BB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w toku prac uzasadnionych uwag i opinii Zamawiającego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.</w:t>
      </w:r>
    </w:p>
    <w:p w:rsidR="00CE0923" w:rsidRDefault="00CE0923" w:rsidP="003650F2">
      <w:pPr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spacing w:val="-4"/>
          <w:sz w:val="20"/>
          <w:szCs w:val="20"/>
          <w:lang w:eastAsia="pl-PL"/>
        </w:rPr>
      </w:pPr>
      <w:r w:rsidRPr="00E74851">
        <w:rPr>
          <w:rFonts w:ascii="Arial" w:eastAsia="Times New Roman" w:hAnsi="Arial" w:cs="Arial"/>
          <w:spacing w:val="-4"/>
          <w:sz w:val="20"/>
          <w:szCs w:val="20"/>
          <w:lang w:eastAsia="pl-PL"/>
        </w:rPr>
        <w:t>Wszystkie dokumenty wytworzone w zakresie przedmiotu umowy zostaną przekazane Zamawiającemu:</w:t>
      </w:r>
    </w:p>
    <w:p w:rsidR="00E74851" w:rsidRPr="00C16193" w:rsidRDefault="00E74851" w:rsidP="00E74851">
      <w:pPr>
        <w:pStyle w:val="Akapitzlist"/>
        <w:numPr>
          <w:ilvl w:val="0"/>
          <w:numId w:val="7"/>
        </w:numPr>
        <w:spacing w:after="0" w:line="240" w:lineRule="auto"/>
        <w:ind w:left="680" w:hanging="3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lang w:eastAsia="pl-PL"/>
        </w:rPr>
        <w:t>w 5 egz. w wersji papierowej (pełen kolor),</w:t>
      </w:r>
    </w:p>
    <w:p w:rsidR="00E74851" w:rsidRDefault="00E74851" w:rsidP="005674BB">
      <w:pPr>
        <w:pStyle w:val="Akapitzlist"/>
        <w:numPr>
          <w:ilvl w:val="0"/>
          <w:numId w:val="7"/>
        </w:numPr>
        <w:spacing w:after="120" w:line="240" w:lineRule="auto"/>
        <w:ind w:left="68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6193">
        <w:rPr>
          <w:rFonts w:ascii="Arial" w:eastAsia="Times New Roman" w:hAnsi="Arial" w:cs="Arial"/>
          <w:sz w:val="20"/>
          <w:szCs w:val="20"/>
          <w:lang w:eastAsia="pl-PL"/>
        </w:rPr>
        <w:t xml:space="preserve">w wersji elektronicznej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Pr="00C16193">
        <w:rPr>
          <w:rFonts w:ascii="Arial" w:eastAsia="Times New Roman" w:hAnsi="Arial" w:cs="Arial"/>
          <w:sz w:val="20"/>
          <w:szCs w:val="20"/>
          <w:lang w:eastAsia="pl-PL"/>
        </w:rPr>
        <w:t>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ewnętrznym nośniku elektronicznym zawierającym dokumenty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650F2">
        <w:rPr>
          <w:rFonts w:ascii="Arial" w:eastAsia="Times New Roman" w:hAnsi="Arial" w:cs="Arial"/>
          <w:sz w:val="20"/>
          <w:szCs w:val="20"/>
          <w:lang w:eastAsia="pl-PL"/>
        </w:rPr>
        <w:t xml:space="preserve">w formacie .pdf </w:t>
      </w:r>
      <w:r>
        <w:rPr>
          <w:rFonts w:ascii="Arial" w:eastAsia="Times New Roman" w:hAnsi="Arial" w:cs="Arial"/>
          <w:sz w:val="20"/>
          <w:szCs w:val="20"/>
          <w:lang w:eastAsia="pl-PL"/>
        </w:rPr>
        <w:t>a także</w:t>
      </w:r>
      <w:r w:rsidRPr="00365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ich </w:t>
      </w:r>
      <w:r w:rsidRPr="003650F2">
        <w:rPr>
          <w:rFonts w:ascii="Arial" w:eastAsia="Times New Roman" w:hAnsi="Arial" w:cs="Arial"/>
          <w:sz w:val="20"/>
          <w:szCs w:val="20"/>
          <w:lang w:eastAsia="pl-PL"/>
        </w:rPr>
        <w:t>wersj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650F2">
        <w:rPr>
          <w:rFonts w:ascii="Arial" w:eastAsia="Times New Roman" w:hAnsi="Arial" w:cs="Arial"/>
          <w:sz w:val="20"/>
          <w:szCs w:val="20"/>
          <w:lang w:eastAsia="pl-PL"/>
        </w:rPr>
        <w:t xml:space="preserve"> edytowaln</w:t>
      </w:r>
      <w:r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3650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tekstowe w formacie</w:t>
      </w:r>
      <w:r w:rsidRPr="003650F2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  <w:proofErr w:type="spellStart"/>
      <w:r w:rsidRPr="003650F2">
        <w:rPr>
          <w:rFonts w:ascii="Arial" w:eastAsia="Times New Roman" w:hAnsi="Arial" w:cs="Arial"/>
          <w:sz w:val="20"/>
          <w:szCs w:val="20"/>
          <w:lang w:eastAsia="pl-PL"/>
        </w:rPr>
        <w:t>doc</w:t>
      </w:r>
      <w:proofErr w:type="spellEnd"/>
      <w:r w:rsidRPr="003650F2">
        <w:rPr>
          <w:rFonts w:ascii="Arial" w:eastAsia="Times New Roman" w:hAnsi="Arial" w:cs="Arial"/>
          <w:sz w:val="20"/>
          <w:szCs w:val="20"/>
          <w:lang w:eastAsia="pl-PL"/>
        </w:rPr>
        <w:t>/ .</w:t>
      </w:r>
      <w:proofErr w:type="spellStart"/>
      <w:r w:rsidRPr="003650F2">
        <w:rPr>
          <w:rFonts w:ascii="Arial" w:eastAsia="Times New Roman" w:hAnsi="Arial" w:cs="Arial"/>
          <w:sz w:val="20"/>
          <w:szCs w:val="20"/>
          <w:lang w:eastAsia="pl-PL"/>
        </w:rPr>
        <w:t>docx</w:t>
      </w:r>
      <w:proofErr w:type="spellEnd"/>
      <w:r w:rsidRPr="003650F2">
        <w:rPr>
          <w:rFonts w:ascii="Arial" w:eastAsia="Times New Roman" w:hAnsi="Arial" w:cs="Arial"/>
          <w:sz w:val="20"/>
          <w:szCs w:val="20"/>
          <w:lang w:eastAsia="pl-PL"/>
        </w:rPr>
        <w:t xml:space="preserve"> oraz graficzne, schematy, tabele, wykresy itp. w </w:t>
      </w:r>
      <w:r>
        <w:rPr>
          <w:rFonts w:ascii="Arial" w:eastAsia="Times New Roman" w:hAnsi="Arial" w:cs="Arial"/>
          <w:sz w:val="20"/>
          <w:szCs w:val="20"/>
          <w:lang w:eastAsia="pl-PL"/>
        </w:rPr>
        <w:t>formatach</w:t>
      </w:r>
      <w:r w:rsidRPr="003650F2">
        <w:rPr>
          <w:rFonts w:ascii="Arial" w:eastAsia="Times New Roman" w:hAnsi="Arial" w:cs="Arial"/>
          <w:sz w:val="20"/>
          <w:szCs w:val="20"/>
          <w:lang w:eastAsia="pl-PL"/>
        </w:rPr>
        <w:t xml:space="preserve"> .</w:t>
      </w:r>
      <w:proofErr w:type="spellStart"/>
      <w:r w:rsidRPr="003650F2">
        <w:rPr>
          <w:rFonts w:ascii="Arial" w:eastAsia="Times New Roman" w:hAnsi="Arial" w:cs="Arial"/>
          <w:sz w:val="20"/>
          <w:szCs w:val="20"/>
          <w:lang w:eastAsia="pl-PL"/>
        </w:rPr>
        <w:t>cd</w:t>
      </w:r>
      <w:r>
        <w:rPr>
          <w:rFonts w:ascii="Arial" w:eastAsia="Times New Roman" w:hAnsi="Arial" w:cs="Arial"/>
          <w:sz w:val="20"/>
          <w:szCs w:val="20"/>
          <w:lang w:eastAsia="pl-PL"/>
        </w:rPr>
        <w:t>r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.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svg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.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dxf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.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dwg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.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shx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.xls/ .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xlsx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.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ppt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4BB" w:rsidRPr="00DA1222" w:rsidTr="00596C73">
        <w:trPr>
          <w:trHeight w:val="583"/>
        </w:trPr>
        <w:tc>
          <w:tcPr>
            <w:tcW w:w="9062" w:type="dxa"/>
            <w:shd w:val="clear" w:color="auto" w:fill="D9D9D9"/>
            <w:vAlign w:val="center"/>
          </w:tcPr>
          <w:p w:rsidR="005674BB" w:rsidRPr="00DA1222" w:rsidRDefault="005674BB" w:rsidP="005674BB">
            <w:pPr>
              <w:tabs>
                <w:tab w:val="num" w:pos="742"/>
              </w:tabs>
              <w:autoSpaceDE w:val="0"/>
              <w:autoSpaceDN w:val="0"/>
              <w:spacing w:before="60" w:after="60" w:line="240" w:lineRule="auto"/>
              <w:rPr>
                <w:rFonts w:ascii="Calibri" w:hAnsi="Calibri" w:cs="Calibri"/>
                <w:b/>
                <w:bCs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Sposób przedłożenia informacji o szacowanym koszcie usług oraz o przewidywanym czasie ich realizacji:</w:t>
            </w:r>
          </w:p>
        </w:tc>
      </w:tr>
    </w:tbl>
    <w:p w:rsidR="005674BB" w:rsidRDefault="005674BB" w:rsidP="005674BB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5674BB">
        <w:rPr>
          <w:rFonts w:ascii="Arial" w:hAnsi="Arial" w:cs="Arial"/>
          <w:sz w:val="20"/>
          <w:szCs w:val="20"/>
        </w:rPr>
        <w:t xml:space="preserve">Informacji proszę udzielać pisemnie na adres poczty elektronicznej </w:t>
      </w:r>
      <w:hyperlink r:id="rId6" w:history="1">
        <w:r w:rsidRPr="005674BB">
          <w:rPr>
            <w:rStyle w:val="Hipercze"/>
            <w:rFonts w:ascii="Arial" w:hAnsi="Arial" w:cs="Arial"/>
            <w:sz w:val="20"/>
            <w:szCs w:val="20"/>
          </w:rPr>
          <w:t>m.strzelczyk@um.kolobrzeg.pl</w:t>
        </w:r>
      </w:hyperlink>
      <w:r w:rsidRPr="005674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5674BB">
        <w:rPr>
          <w:rFonts w:ascii="Arial" w:hAnsi="Arial" w:cs="Arial"/>
          <w:sz w:val="20"/>
          <w:szCs w:val="20"/>
        </w:rPr>
        <w:t xml:space="preserve">do </w:t>
      </w:r>
      <w:r>
        <w:rPr>
          <w:rFonts w:ascii="Arial" w:hAnsi="Arial" w:cs="Arial"/>
          <w:sz w:val="20"/>
          <w:szCs w:val="20"/>
        </w:rPr>
        <w:t>dnia</w:t>
      </w:r>
      <w:r w:rsidR="002D5BA3">
        <w:rPr>
          <w:rFonts w:ascii="Arial" w:hAnsi="Arial" w:cs="Arial"/>
          <w:sz w:val="20"/>
          <w:szCs w:val="20"/>
        </w:rPr>
        <w:t xml:space="preserve"> 06 grudnia</w:t>
      </w:r>
      <w:r w:rsidRPr="005674BB">
        <w:rPr>
          <w:rFonts w:ascii="Arial" w:hAnsi="Arial" w:cs="Arial"/>
          <w:sz w:val="20"/>
          <w:szCs w:val="20"/>
        </w:rPr>
        <w:t xml:space="preserve"> 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4BB" w:rsidRPr="00DA1222" w:rsidTr="00596C73">
        <w:trPr>
          <w:trHeight w:val="583"/>
        </w:trPr>
        <w:tc>
          <w:tcPr>
            <w:tcW w:w="9062" w:type="dxa"/>
            <w:shd w:val="clear" w:color="auto" w:fill="D9D9D9"/>
            <w:vAlign w:val="center"/>
          </w:tcPr>
          <w:p w:rsidR="005674BB" w:rsidRPr="00DA1222" w:rsidRDefault="005674BB" w:rsidP="00596C73">
            <w:pPr>
              <w:tabs>
                <w:tab w:val="num" w:pos="742"/>
              </w:tabs>
              <w:autoSpaceDE w:val="0"/>
              <w:autoSpaceDN w:val="0"/>
              <w:spacing w:before="60" w:after="60" w:line="240" w:lineRule="auto"/>
              <w:rPr>
                <w:rFonts w:ascii="Calibri" w:hAnsi="Calibri" w:cs="Calibri"/>
                <w:b/>
                <w:bCs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Osoba do kontaktu:</w:t>
            </w:r>
          </w:p>
        </w:tc>
      </w:tr>
    </w:tbl>
    <w:p w:rsidR="005674BB" w:rsidRPr="005674BB" w:rsidRDefault="005674BB" w:rsidP="005674BB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Monika Strzelczyk Główny Specjalista w Wydziale Urbanistyki i Architektury Urzędu Miasta Kołobrzeg e-mail: </w:t>
      </w:r>
      <w:hyperlink r:id="rId7" w:history="1">
        <w:r w:rsidRPr="005674BB">
          <w:rPr>
            <w:rStyle w:val="Hipercze"/>
            <w:rFonts w:ascii="Arial" w:hAnsi="Arial" w:cs="Arial"/>
            <w:sz w:val="20"/>
            <w:szCs w:val="20"/>
          </w:rPr>
          <w:t>m.strzelczyk@um.kolobrzeg.pl</w:t>
        </w:r>
      </w:hyperlink>
      <w:r w:rsidRPr="005674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 tel.: 94 35 515 30</w:t>
      </w:r>
      <w:r w:rsidRPr="005674BB"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4BB" w:rsidRPr="00DA1222" w:rsidTr="00596C73">
        <w:trPr>
          <w:trHeight w:val="583"/>
        </w:trPr>
        <w:tc>
          <w:tcPr>
            <w:tcW w:w="9062" w:type="dxa"/>
            <w:shd w:val="clear" w:color="auto" w:fill="D9D9D9"/>
            <w:vAlign w:val="center"/>
          </w:tcPr>
          <w:p w:rsidR="005674BB" w:rsidRPr="00DA1222" w:rsidRDefault="005674BB" w:rsidP="00596C73">
            <w:pPr>
              <w:tabs>
                <w:tab w:val="num" w:pos="742"/>
              </w:tabs>
              <w:autoSpaceDE w:val="0"/>
              <w:autoSpaceDN w:val="0"/>
              <w:spacing w:before="60" w:after="60" w:line="240" w:lineRule="auto"/>
              <w:rPr>
                <w:rFonts w:ascii="Calibri" w:hAnsi="Calibri" w:cs="Calibri"/>
                <w:b/>
                <w:bCs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</w:rPr>
              <w:t>Inne:</w:t>
            </w:r>
          </w:p>
        </w:tc>
      </w:tr>
    </w:tbl>
    <w:p w:rsidR="005674BB" w:rsidRPr="005674BB" w:rsidRDefault="005674BB" w:rsidP="005674BB">
      <w:pPr>
        <w:pStyle w:val="Default"/>
        <w:numPr>
          <w:ilvl w:val="0"/>
          <w:numId w:val="8"/>
        </w:numPr>
        <w:spacing w:before="120"/>
        <w:ind w:left="340" w:hanging="3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5674BB">
        <w:rPr>
          <w:rFonts w:ascii="Arial" w:hAnsi="Arial" w:cs="Arial"/>
          <w:b/>
          <w:sz w:val="20"/>
          <w:szCs w:val="20"/>
        </w:rPr>
        <w:t>Proszę o określenie przewidywanego czasu potrzebnego na wykonanie realizację przedmiotu zamówienia.</w:t>
      </w:r>
    </w:p>
    <w:p w:rsidR="005674BB" w:rsidRPr="005674BB" w:rsidRDefault="005674BB" w:rsidP="005674BB">
      <w:pPr>
        <w:pStyle w:val="Default"/>
        <w:numPr>
          <w:ilvl w:val="0"/>
          <w:numId w:val="8"/>
        </w:numPr>
        <w:spacing w:before="120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674BB">
        <w:rPr>
          <w:rFonts w:ascii="Arial" w:hAnsi="Arial" w:cs="Arial"/>
          <w:sz w:val="20"/>
          <w:szCs w:val="20"/>
        </w:rPr>
        <w:t xml:space="preserve">Niniejsze zapytanie prowadzone jest w celu dokonania właściwego określenia wartości docelowego zamówienia, zgodnie z </w:t>
      </w:r>
      <w:r>
        <w:rPr>
          <w:rFonts w:ascii="Arial" w:hAnsi="Arial" w:cs="Arial"/>
          <w:sz w:val="20"/>
          <w:szCs w:val="20"/>
        </w:rPr>
        <w:t>a</w:t>
      </w:r>
      <w:r w:rsidRPr="005674BB">
        <w:rPr>
          <w:rFonts w:ascii="Arial" w:hAnsi="Arial" w:cs="Arial"/>
          <w:sz w:val="20"/>
          <w:szCs w:val="20"/>
        </w:rPr>
        <w:t xml:space="preserve">rt. 32 ustawy z dnia 29 stycznia 2004 r. Prawo </w:t>
      </w:r>
      <w:r>
        <w:rPr>
          <w:rFonts w:ascii="Arial" w:hAnsi="Arial" w:cs="Arial"/>
          <w:sz w:val="20"/>
          <w:szCs w:val="20"/>
        </w:rPr>
        <w:t>z</w:t>
      </w:r>
      <w:r w:rsidRPr="005674BB">
        <w:rPr>
          <w:rFonts w:ascii="Arial" w:hAnsi="Arial" w:cs="Arial"/>
          <w:sz w:val="20"/>
          <w:szCs w:val="20"/>
        </w:rPr>
        <w:t xml:space="preserve">amówień </w:t>
      </w:r>
      <w:r>
        <w:rPr>
          <w:rFonts w:ascii="Arial" w:hAnsi="Arial" w:cs="Arial"/>
          <w:sz w:val="20"/>
          <w:szCs w:val="20"/>
        </w:rPr>
        <w:t>publicznych.</w:t>
      </w:r>
    </w:p>
    <w:p w:rsidR="005674BB" w:rsidRPr="005674BB" w:rsidRDefault="005674BB" w:rsidP="005674BB">
      <w:pPr>
        <w:pStyle w:val="Default"/>
        <w:numPr>
          <w:ilvl w:val="0"/>
          <w:numId w:val="8"/>
        </w:numPr>
        <w:spacing w:before="120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674BB">
        <w:rPr>
          <w:rFonts w:ascii="Arial" w:hAnsi="Arial" w:cs="Arial"/>
          <w:sz w:val="20"/>
          <w:szCs w:val="20"/>
        </w:rPr>
        <w:t xml:space="preserve">Informacja nie stanowi zapytania ofertowego ani ogłoszenia w rozumieniu ustawy z dnia 29 stycznia 2004 r. Prawo </w:t>
      </w:r>
      <w:r>
        <w:rPr>
          <w:rFonts w:ascii="Arial" w:hAnsi="Arial" w:cs="Arial"/>
          <w:sz w:val="20"/>
          <w:szCs w:val="20"/>
        </w:rPr>
        <w:t>z</w:t>
      </w:r>
      <w:r w:rsidRPr="005674BB">
        <w:rPr>
          <w:rFonts w:ascii="Arial" w:hAnsi="Arial" w:cs="Arial"/>
          <w:sz w:val="20"/>
          <w:szCs w:val="20"/>
        </w:rPr>
        <w:t xml:space="preserve">amówień </w:t>
      </w:r>
      <w:r>
        <w:rPr>
          <w:rFonts w:ascii="Arial" w:hAnsi="Arial" w:cs="Arial"/>
          <w:sz w:val="20"/>
          <w:szCs w:val="20"/>
        </w:rPr>
        <w:t>publicznych.</w:t>
      </w:r>
    </w:p>
    <w:p w:rsidR="005674BB" w:rsidRPr="005674BB" w:rsidRDefault="005674BB" w:rsidP="005674BB">
      <w:pPr>
        <w:pStyle w:val="Default"/>
        <w:numPr>
          <w:ilvl w:val="0"/>
          <w:numId w:val="8"/>
        </w:numPr>
        <w:spacing w:before="120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674BB">
        <w:rPr>
          <w:rFonts w:ascii="Arial" w:hAnsi="Arial" w:cs="Arial"/>
          <w:sz w:val="20"/>
          <w:szCs w:val="20"/>
        </w:rPr>
        <w:t xml:space="preserve">Złożenie wyceny w ramach zapytania o szacunkową wartość zamówienia nie jest równoznaczne </w:t>
      </w:r>
      <w:r>
        <w:rPr>
          <w:rFonts w:ascii="Arial" w:hAnsi="Arial" w:cs="Arial"/>
          <w:sz w:val="20"/>
          <w:szCs w:val="20"/>
        </w:rPr>
        <w:br/>
      </w:r>
      <w:r w:rsidRPr="005674BB">
        <w:rPr>
          <w:rFonts w:ascii="Arial" w:hAnsi="Arial" w:cs="Arial"/>
          <w:sz w:val="20"/>
          <w:szCs w:val="20"/>
        </w:rPr>
        <w:t xml:space="preserve">z udzieleniem zamówienia przez </w:t>
      </w:r>
      <w:r w:rsidRPr="005674BB">
        <w:rPr>
          <w:rFonts w:ascii="Arial" w:hAnsi="Arial" w:cs="Arial"/>
          <w:iCs/>
          <w:sz w:val="20"/>
          <w:szCs w:val="20"/>
        </w:rPr>
        <w:t>Zamawiającego</w:t>
      </w:r>
      <w:r w:rsidRPr="005674BB">
        <w:rPr>
          <w:rFonts w:ascii="Arial" w:hAnsi="Arial" w:cs="Arial"/>
          <w:i/>
          <w:iCs/>
          <w:sz w:val="20"/>
          <w:szCs w:val="20"/>
        </w:rPr>
        <w:t xml:space="preserve"> </w:t>
      </w:r>
      <w:r w:rsidRPr="005674BB">
        <w:rPr>
          <w:rFonts w:ascii="Arial" w:hAnsi="Arial" w:cs="Arial"/>
          <w:sz w:val="20"/>
          <w:szCs w:val="20"/>
        </w:rPr>
        <w:t>oraz nie rodzi sk</w:t>
      </w:r>
      <w:r>
        <w:rPr>
          <w:rFonts w:ascii="Arial" w:hAnsi="Arial" w:cs="Arial"/>
          <w:sz w:val="20"/>
          <w:szCs w:val="20"/>
        </w:rPr>
        <w:t>utków w postaci zawarcia umowy.</w:t>
      </w:r>
    </w:p>
    <w:p w:rsidR="005674BB" w:rsidRPr="005674BB" w:rsidRDefault="005674BB" w:rsidP="005674BB">
      <w:pPr>
        <w:pStyle w:val="Default"/>
        <w:numPr>
          <w:ilvl w:val="0"/>
          <w:numId w:val="8"/>
        </w:numPr>
        <w:spacing w:before="120"/>
        <w:ind w:left="340" w:hanging="340"/>
        <w:contextualSpacing/>
        <w:jc w:val="both"/>
        <w:rPr>
          <w:rFonts w:ascii="Arial" w:hAnsi="Arial" w:cs="Arial"/>
          <w:sz w:val="20"/>
          <w:szCs w:val="20"/>
        </w:rPr>
      </w:pPr>
      <w:r w:rsidRPr="005674BB">
        <w:rPr>
          <w:rFonts w:ascii="Arial" w:hAnsi="Arial" w:cs="Arial"/>
          <w:sz w:val="20"/>
          <w:szCs w:val="20"/>
        </w:rPr>
        <w:t xml:space="preserve">Wycena ma być wyrażona w złotych polskich w kwocie netto oraz brutto. Wycenę należy podać </w:t>
      </w:r>
      <w:r>
        <w:rPr>
          <w:rFonts w:ascii="Arial" w:hAnsi="Arial" w:cs="Arial"/>
          <w:sz w:val="20"/>
          <w:szCs w:val="20"/>
        </w:rPr>
        <w:br/>
      </w:r>
      <w:r w:rsidRPr="005674BB">
        <w:rPr>
          <w:rFonts w:ascii="Arial" w:hAnsi="Arial" w:cs="Arial"/>
          <w:sz w:val="20"/>
          <w:szCs w:val="20"/>
        </w:rPr>
        <w:t>z dokładnością do dwó</w:t>
      </w:r>
      <w:r>
        <w:rPr>
          <w:rFonts w:ascii="Arial" w:hAnsi="Arial" w:cs="Arial"/>
          <w:sz w:val="20"/>
          <w:szCs w:val="20"/>
        </w:rPr>
        <w:t>ch miejsc po przecinku (zł/gr).</w:t>
      </w:r>
    </w:p>
    <w:p w:rsidR="005674BB" w:rsidRPr="005674BB" w:rsidRDefault="005674BB" w:rsidP="00656F74">
      <w:pPr>
        <w:pStyle w:val="Akapitzlist"/>
        <w:numPr>
          <w:ilvl w:val="0"/>
          <w:numId w:val="8"/>
        </w:numPr>
        <w:spacing w:after="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674BB">
        <w:rPr>
          <w:rFonts w:ascii="Arial" w:hAnsi="Arial" w:cs="Arial"/>
          <w:sz w:val="20"/>
          <w:szCs w:val="20"/>
        </w:rPr>
        <w:t>Wycena powinna obejmować pełny zakres prac określonych w zapytaniu oraz uwzględniać wszystkie koszty związane z realizacją przedmiotu zamówienia.</w:t>
      </w:r>
    </w:p>
    <w:sectPr w:rsidR="005674BB" w:rsidRPr="00567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F5B"/>
    <w:multiLevelType w:val="hybridMultilevel"/>
    <w:tmpl w:val="6C1032F4"/>
    <w:lvl w:ilvl="0" w:tplc="94C251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5750A8"/>
    <w:multiLevelType w:val="multilevel"/>
    <w:tmpl w:val="67C2EE00"/>
    <w:name w:val="WW8Num2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00F4DD1"/>
    <w:multiLevelType w:val="hybridMultilevel"/>
    <w:tmpl w:val="02409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354C"/>
    <w:multiLevelType w:val="hybridMultilevel"/>
    <w:tmpl w:val="C5529084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8ED4BF8"/>
    <w:multiLevelType w:val="multilevel"/>
    <w:tmpl w:val="DAB84E8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ascii="Calibri" w:hAnsi="Calibri" w:cs="Calibri" w:hint="default"/>
        <w:sz w:val="22"/>
      </w:rPr>
    </w:lvl>
  </w:abstractNum>
  <w:abstractNum w:abstractNumId="5">
    <w:nsid w:val="72186569"/>
    <w:multiLevelType w:val="hybridMultilevel"/>
    <w:tmpl w:val="714ABE0E"/>
    <w:lvl w:ilvl="0" w:tplc="04150019">
      <w:start w:val="1"/>
      <w:numFmt w:val="lowerLetter"/>
      <w:lvlText w:val="%1."/>
      <w:lvlJc w:val="left"/>
      <w:pPr>
        <w:ind w:left="1372" w:hanging="360"/>
      </w:pPr>
    </w:lvl>
    <w:lvl w:ilvl="1" w:tplc="04150019" w:tentative="1">
      <w:start w:val="1"/>
      <w:numFmt w:val="lowerLetter"/>
      <w:lvlText w:val="%2."/>
      <w:lvlJc w:val="left"/>
      <w:pPr>
        <w:ind w:left="2092" w:hanging="360"/>
      </w:pPr>
    </w:lvl>
    <w:lvl w:ilvl="2" w:tplc="0415001B" w:tentative="1">
      <w:start w:val="1"/>
      <w:numFmt w:val="lowerRoman"/>
      <w:lvlText w:val="%3."/>
      <w:lvlJc w:val="right"/>
      <w:pPr>
        <w:ind w:left="2812" w:hanging="180"/>
      </w:pPr>
    </w:lvl>
    <w:lvl w:ilvl="3" w:tplc="0415000F" w:tentative="1">
      <w:start w:val="1"/>
      <w:numFmt w:val="decimal"/>
      <w:lvlText w:val="%4."/>
      <w:lvlJc w:val="left"/>
      <w:pPr>
        <w:ind w:left="3532" w:hanging="360"/>
      </w:pPr>
    </w:lvl>
    <w:lvl w:ilvl="4" w:tplc="04150019" w:tentative="1">
      <w:start w:val="1"/>
      <w:numFmt w:val="lowerLetter"/>
      <w:lvlText w:val="%5."/>
      <w:lvlJc w:val="left"/>
      <w:pPr>
        <w:ind w:left="4252" w:hanging="360"/>
      </w:pPr>
    </w:lvl>
    <w:lvl w:ilvl="5" w:tplc="0415001B" w:tentative="1">
      <w:start w:val="1"/>
      <w:numFmt w:val="lowerRoman"/>
      <w:lvlText w:val="%6."/>
      <w:lvlJc w:val="right"/>
      <w:pPr>
        <w:ind w:left="4972" w:hanging="180"/>
      </w:pPr>
    </w:lvl>
    <w:lvl w:ilvl="6" w:tplc="0415000F" w:tentative="1">
      <w:start w:val="1"/>
      <w:numFmt w:val="decimal"/>
      <w:lvlText w:val="%7."/>
      <w:lvlJc w:val="left"/>
      <w:pPr>
        <w:ind w:left="5692" w:hanging="360"/>
      </w:pPr>
    </w:lvl>
    <w:lvl w:ilvl="7" w:tplc="04150019" w:tentative="1">
      <w:start w:val="1"/>
      <w:numFmt w:val="lowerLetter"/>
      <w:lvlText w:val="%8."/>
      <w:lvlJc w:val="left"/>
      <w:pPr>
        <w:ind w:left="6412" w:hanging="360"/>
      </w:pPr>
    </w:lvl>
    <w:lvl w:ilvl="8" w:tplc="0415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6">
    <w:nsid w:val="73414E30"/>
    <w:multiLevelType w:val="hybridMultilevel"/>
    <w:tmpl w:val="3580DD64"/>
    <w:lvl w:ilvl="0" w:tplc="D64C99C6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01471D"/>
    <w:multiLevelType w:val="hybridMultilevel"/>
    <w:tmpl w:val="B8FC250E"/>
    <w:lvl w:ilvl="0" w:tplc="D64C99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7E"/>
    <w:rsid w:val="002D5BA3"/>
    <w:rsid w:val="003650F2"/>
    <w:rsid w:val="005510C0"/>
    <w:rsid w:val="005674BB"/>
    <w:rsid w:val="007D0A87"/>
    <w:rsid w:val="00A3712D"/>
    <w:rsid w:val="00C16193"/>
    <w:rsid w:val="00C467D7"/>
    <w:rsid w:val="00CB0BF5"/>
    <w:rsid w:val="00CE0923"/>
    <w:rsid w:val="00DB4D81"/>
    <w:rsid w:val="00E74851"/>
    <w:rsid w:val="00EA377E"/>
    <w:rsid w:val="00EB3396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4BB"/>
    <w:rPr>
      <w:color w:val="0000FF"/>
      <w:u w:val="single"/>
    </w:rPr>
  </w:style>
  <w:style w:type="paragraph" w:customStyle="1" w:styleId="Default">
    <w:name w:val="Default"/>
    <w:rsid w:val="00567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B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3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37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674BB"/>
    <w:rPr>
      <w:color w:val="0000FF"/>
      <w:u w:val="single"/>
    </w:rPr>
  </w:style>
  <w:style w:type="paragraph" w:customStyle="1" w:styleId="Default">
    <w:name w:val="Default"/>
    <w:rsid w:val="00567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strzelczyk@um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trzelczyk@um.kolo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836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mstrzelczyk</dc:creator>
  <cp:lastModifiedBy>msielewska</cp:lastModifiedBy>
  <cp:revision>6</cp:revision>
  <dcterms:created xsi:type="dcterms:W3CDTF">2019-11-15T08:34:00Z</dcterms:created>
  <dcterms:modified xsi:type="dcterms:W3CDTF">2019-11-15T12:39:00Z</dcterms:modified>
</cp:coreProperties>
</file>