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B8" w:rsidRDefault="007834B8" w:rsidP="007834B8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Część III</w:t>
      </w:r>
      <w:r>
        <w:rPr>
          <w:rFonts w:ascii="Arial" w:hAnsi="Arial" w:cs="Arial"/>
          <w:b w:val="0"/>
          <w:i w:val="0"/>
          <w:sz w:val="24"/>
        </w:rPr>
        <w:tab/>
      </w:r>
      <w:r>
        <w:rPr>
          <w:rFonts w:ascii="Arial" w:hAnsi="Arial" w:cs="Arial"/>
          <w:b w:val="0"/>
          <w:i w:val="0"/>
          <w:sz w:val="24"/>
        </w:rPr>
        <w:tab/>
        <w:t>Określenie przedmiotu zamówienia</w:t>
      </w:r>
    </w:p>
    <w:p w:rsidR="007834B8" w:rsidRDefault="007834B8" w:rsidP="007834B8"/>
    <w:p w:rsidR="007834B8" w:rsidRDefault="007834B8" w:rsidP="007834B8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bCs/>
          <w:i w:val="0"/>
          <w:sz w:val="24"/>
        </w:rPr>
      </w:pPr>
      <w:r>
        <w:rPr>
          <w:rFonts w:ascii="Arial" w:hAnsi="Arial" w:cs="Arial"/>
          <w:bCs/>
          <w:i w:val="0"/>
          <w:sz w:val="24"/>
        </w:rPr>
        <w:t>OPIS PRZEDMIOTU ZAMÓWIENIA</w:t>
      </w:r>
    </w:p>
    <w:p w:rsidR="007834B8" w:rsidRDefault="007834B8" w:rsidP="007834B8">
      <w:pPr>
        <w:pStyle w:val="Tekstpodstawowy"/>
        <w:ind w:left="1080"/>
        <w:jc w:val="both"/>
        <w:rPr>
          <w:rFonts w:ascii="Arial" w:hAnsi="Arial" w:cs="Arial"/>
          <w:bCs/>
          <w:i w:val="0"/>
          <w:sz w:val="24"/>
        </w:rPr>
      </w:pPr>
    </w:p>
    <w:p w:rsidR="007834B8" w:rsidRPr="00BF272F" w:rsidRDefault="007834B8" w:rsidP="007834B8">
      <w:pPr>
        <w:pStyle w:val="Tekstpodstawowy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Kod CPV </w:t>
      </w:r>
      <w:r w:rsidRPr="00375EEF">
        <w:rPr>
          <w:rFonts w:ascii="Arial" w:hAnsi="Arial" w:cs="Arial"/>
          <w:b w:val="0"/>
          <w:i w:val="0"/>
          <w:sz w:val="22"/>
          <w:szCs w:val="22"/>
        </w:rPr>
        <w:t>09310000-5</w:t>
      </w:r>
    </w:p>
    <w:p w:rsidR="003C0842" w:rsidRPr="00BD75B2" w:rsidRDefault="003C0842" w:rsidP="003C08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Przedmiotem zamówienia jest  sprzedaż (dostawa)</w:t>
      </w:r>
      <w:r w:rsidR="00116384">
        <w:rPr>
          <w:rFonts w:ascii="Arial" w:hAnsi="Arial" w:cs="Arial"/>
          <w:u w:val="single"/>
        </w:rPr>
        <w:t xml:space="preserve"> </w:t>
      </w:r>
      <w:r w:rsidR="00116384" w:rsidRPr="00B450A1">
        <w:rPr>
          <w:rFonts w:ascii="Arial" w:hAnsi="Arial" w:cs="Arial"/>
          <w:u w:val="single"/>
        </w:rPr>
        <w:t>3</w:t>
      </w:r>
      <w:r w:rsidR="00254BA0" w:rsidRPr="00B450A1">
        <w:rPr>
          <w:rFonts w:ascii="Arial" w:hAnsi="Arial" w:cs="Arial"/>
          <w:u w:val="single"/>
        </w:rPr>
        <w:t> </w:t>
      </w:r>
      <w:r w:rsidR="00116384" w:rsidRPr="00B450A1">
        <w:rPr>
          <w:rFonts w:ascii="Arial" w:hAnsi="Arial" w:cs="Arial"/>
          <w:u w:val="single"/>
        </w:rPr>
        <w:t>69</w:t>
      </w:r>
      <w:r w:rsidR="00254BA0" w:rsidRPr="00B450A1">
        <w:rPr>
          <w:rFonts w:ascii="Arial" w:hAnsi="Arial" w:cs="Arial"/>
          <w:u w:val="single"/>
        </w:rPr>
        <w:t>9</w:t>
      </w:r>
      <w:r w:rsidR="00116384" w:rsidRPr="00B450A1">
        <w:rPr>
          <w:rFonts w:ascii="Arial" w:hAnsi="Arial" w:cs="Arial"/>
          <w:u w:val="single"/>
        </w:rPr>
        <w:t> </w:t>
      </w:r>
      <w:r w:rsidR="00254BA0" w:rsidRPr="00B450A1">
        <w:rPr>
          <w:rFonts w:ascii="Arial" w:hAnsi="Arial" w:cs="Arial"/>
          <w:u w:val="single"/>
        </w:rPr>
        <w:t>352</w:t>
      </w:r>
      <w:r w:rsidR="00116384" w:rsidRPr="00B450A1">
        <w:rPr>
          <w:rFonts w:ascii="Arial" w:hAnsi="Arial" w:cs="Arial"/>
          <w:u w:val="single"/>
        </w:rPr>
        <w:t xml:space="preserve"> </w:t>
      </w:r>
      <w:r w:rsidR="00116384">
        <w:rPr>
          <w:rFonts w:ascii="Arial" w:hAnsi="Arial" w:cs="Arial"/>
          <w:u w:val="single"/>
        </w:rPr>
        <w:t>kWh</w:t>
      </w:r>
      <w:r>
        <w:rPr>
          <w:rFonts w:ascii="Arial" w:hAnsi="Arial" w:cs="Arial"/>
          <w:u w:val="single"/>
        </w:rPr>
        <w:t xml:space="preserve"> energii</w:t>
      </w:r>
      <w:r w:rsidRPr="00BD75B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elektrycznej o parametrach określonych w ustawie Prawo energetyczne, rozporządzeniach wykonawczych do tej ustawy i zgodnych z obowiązującymi normami </w:t>
      </w:r>
      <w:r w:rsidRPr="00BD75B2">
        <w:rPr>
          <w:rFonts w:ascii="Arial" w:hAnsi="Arial" w:cs="Arial"/>
          <w:u w:val="single"/>
        </w:rPr>
        <w:t>w następujących ilościach dla poszczególnych grup taryfowych:</w:t>
      </w:r>
    </w:p>
    <w:p w:rsidR="003C0842" w:rsidRPr="00100A4F" w:rsidRDefault="003C0842" w:rsidP="003C0842">
      <w:pPr>
        <w:rPr>
          <w:rFonts w:ascii="Arial" w:hAnsi="Arial" w:cs="Arial"/>
          <w:u w:val="single"/>
        </w:rPr>
      </w:pPr>
    </w:p>
    <w:p w:rsidR="003C0842" w:rsidRPr="00100A4F" w:rsidRDefault="003C0842" w:rsidP="003C0842">
      <w:pPr>
        <w:numPr>
          <w:ilvl w:val="0"/>
          <w:numId w:val="1"/>
        </w:numPr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1 559 036 kWh (+/-15%) dla  B21,</w:t>
      </w:r>
    </w:p>
    <w:p w:rsidR="003C0842" w:rsidRPr="00100A4F" w:rsidRDefault="003C0842" w:rsidP="003C0842">
      <w:pPr>
        <w:numPr>
          <w:ilvl w:val="0"/>
          <w:numId w:val="1"/>
        </w:numPr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 xml:space="preserve">   75</w:t>
      </w:r>
      <w:r w:rsidR="00116384" w:rsidRPr="00100A4F">
        <w:rPr>
          <w:rFonts w:ascii="Arial" w:hAnsi="Arial" w:cs="Arial"/>
        </w:rPr>
        <w:t>2</w:t>
      </w:r>
      <w:r w:rsidRPr="00100A4F">
        <w:rPr>
          <w:rFonts w:ascii="Arial" w:hAnsi="Arial" w:cs="Arial"/>
        </w:rPr>
        <w:t xml:space="preserve"> </w:t>
      </w:r>
      <w:r w:rsidR="00116384" w:rsidRPr="00100A4F">
        <w:rPr>
          <w:rFonts w:ascii="Arial" w:hAnsi="Arial" w:cs="Arial"/>
        </w:rPr>
        <w:t>041</w:t>
      </w:r>
      <w:r w:rsidRPr="00100A4F">
        <w:rPr>
          <w:rFonts w:ascii="Arial" w:hAnsi="Arial" w:cs="Arial"/>
        </w:rPr>
        <w:t xml:space="preserve"> kWh (+/-15%) dla  C11,</w:t>
      </w:r>
    </w:p>
    <w:p w:rsidR="003C0842" w:rsidRPr="00100A4F" w:rsidRDefault="003C0842" w:rsidP="003C0842">
      <w:pPr>
        <w:ind w:left="284"/>
        <w:jc w:val="both"/>
        <w:rPr>
          <w:rFonts w:ascii="Arial" w:hAnsi="Arial" w:cs="Arial"/>
        </w:rPr>
      </w:pPr>
    </w:p>
    <w:p w:rsidR="003C0842" w:rsidRPr="00100A4F" w:rsidRDefault="00116384" w:rsidP="003C0842">
      <w:pPr>
        <w:numPr>
          <w:ilvl w:val="0"/>
          <w:numId w:val="1"/>
        </w:numPr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79</w:t>
      </w:r>
      <w:r w:rsidR="00254BA0" w:rsidRPr="00100A4F">
        <w:rPr>
          <w:rFonts w:ascii="Arial" w:hAnsi="Arial" w:cs="Arial"/>
        </w:rPr>
        <w:t>8</w:t>
      </w:r>
      <w:r w:rsidR="003C0842" w:rsidRPr="00100A4F">
        <w:rPr>
          <w:rFonts w:ascii="Arial" w:hAnsi="Arial" w:cs="Arial"/>
        </w:rPr>
        <w:t> </w:t>
      </w:r>
      <w:r w:rsidR="00254BA0" w:rsidRPr="00100A4F">
        <w:rPr>
          <w:rFonts w:ascii="Arial" w:hAnsi="Arial" w:cs="Arial"/>
        </w:rPr>
        <w:t>864</w:t>
      </w:r>
      <w:r w:rsidR="003C0842" w:rsidRPr="00100A4F">
        <w:rPr>
          <w:rFonts w:ascii="Arial" w:hAnsi="Arial" w:cs="Arial"/>
        </w:rPr>
        <w:t xml:space="preserve"> kWh (+/-15%) dla  C12b w tym: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szczyt (dzień)</w:t>
      </w:r>
      <w:r w:rsidRPr="00100A4F">
        <w:rPr>
          <w:rFonts w:ascii="Arial" w:hAnsi="Arial" w:cs="Arial"/>
        </w:rPr>
        <w:tab/>
      </w:r>
      <w:r w:rsidRPr="00100A4F">
        <w:rPr>
          <w:rFonts w:ascii="Arial" w:hAnsi="Arial" w:cs="Arial"/>
        </w:rPr>
        <w:tab/>
        <w:t xml:space="preserve">        2</w:t>
      </w:r>
      <w:r w:rsidR="00116384" w:rsidRPr="00100A4F">
        <w:rPr>
          <w:rFonts w:ascii="Arial" w:hAnsi="Arial" w:cs="Arial"/>
        </w:rPr>
        <w:t>8</w:t>
      </w:r>
      <w:r w:rsidR="00254BA0" w:rsidRPr="00100A4F">
        <w:rPr>
          <w:rFonts w:ascii="Arial" w:hAnsi="Arial" w:cs="Arial"/>
        </w:rPr>
        <w:t>3</w:t>
      </w:r>
      <w:r w:rsidRPr="00100A4F">
        <w:rPr>
          <w:rFonts w:ascii="Arial" w:hAnsi="Arial" w:cs="Arial"/>
        </w:rPr>
        <w:t xml:space="preserve"> </w:t>
      </w:r>
      <w:r w:rsidR="00254BA0" w:rsidRPr="00100A4F">
        <w:rPr>
          <w:rFonts w:ascii="Arial" w:hAnsi="Arial" w:cs="Arial"/>
        </w:rPr>
        <w:t>088</w:t>
      </w:r>
      <w:r w:rsidRPr="00100A4F">
        <w:rPr>
          <w:rFonts w:ascii="Arial" w:hAnsi="Arial" w:cs="Arial"/>
        </w:rPr>
        <w:t xml:space="preserve">  kWh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poza szczytem (noc)</w:t>
      </w:r>
      <w:r w:rsidRPr="00100A4F">
        <w:rPr>
          <w:rFonts w:ascii="Arial" w:hAnsi="Arial" w:cs="Arial"/>
        </w:rPr>
        <w:tab/>
        <w:t xml:space="preserve">        </w:t>
      </w:r>
      <w:r w:rsidR="00116384" w:rsidRPr="00100A4F">
        <w:rPr>
          <w:rFonts w:ascii="Arial" w:hAnsi="Arial" w:cs="Arial"/>
        </w:rPr>
        <w:t>51</w:t>
      </w:r>
      <w:r w:rsidR="00254BA0" w:rsidRPr="00100A4F">
        <w:rPr>
          <w:rFonts w:ascii="Arial" w:hAnsi="Arial" w:cs="Arial"/>
        </w:rPr>
        <w:t>5</w:t>
      </w:r>
      <w:r w:rsidRPr="00100A4F">
        <w:rPr>
          <w:rFonts w:ascii="Arial" w:hAnsi="Arial" w:cs="Arial"/>
        </w:rPr>
        <w:t xml:space="preserve"> </w:t>
      </w:r>
      <w:r w:rsidR="00254BA0" w:rsidRPr="00100A4F">
        <w:rPr>
          <w:rFonts w:ascii="Arial" w:hAnsi="Arial" w:cs="Arial"/>
        </w:rPr>
        <w:t>776</w:t>
      </w:r>
      <w:r w:rsidRPr="00100A4F">
        <w:rPr>
          <w:rFonts w:ascii="Arial" w:hAnsi="Arial" w:cs="Arial"/>
        </w:rPr>
        <w:t xml:space="preserve">  kWh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</w:p>
    <w:p w:rsidR="003C0842" w:rsidRPr="00100A4F" w:rsidRDefault="003C0842" w:rsidP="003C0842">
      <w:pPr>
        <w:numPr>
          <w:ilvl w:val="0"/>
          <w:numId w:val="1"/>
        </w:numPr>
        <w:tabs>
          <w:tab w:val="left" w:pos="709"/>
        </w:tabs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 xml:space="preserve">              34 808 kWh (+/-15%) dla  C12a w tym: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szczyt (dzień)</w:t>
      </w:r>
      <w:r w:rsidRPr="00100A4F">
        <w:rPr>
          <w:rFonts w:ascii="Arial" w:hAnsi="Arial" w:cs="Arial"/>
        </w:rPr>
        <w:tab/>
      </w:r>
      <w:r w:rsidRPr="00100A4F">
        <w:rPr>
          <w:rFonts w:ascii="Arial" w:hAnsi="Arial" w:cs="Arial"/>
        </w:rPr>
        <w:tab/>
        <w:t xml:space="preserve">        10 586  kWh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poza szczytem (noc)</w:t>
      </w:r>
      <w:r w:rsidRPr="00100A4F">
        <w:rPr>
          <w:rFonts w:ascii="Arial" w:hAnsi="Arial" w:cs="Arial"/>
        </w:rPr>
        <w:tab/>
        <w:t xml:space="preserve">        24 222  kWh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</w:p>
    <w:p w:rsidR="003C0842" w:rsidRPr="00100A4F" w:rsidRDefault="003C0842" w:rsidP="003C0842">
      <w:pPr>
        <w:numPr>
          <w:ilvl w:val="0"/>
          <w:numId w:val="1"/>
        </w:numPr>
        <w:tabs>
          <w:tab w:val="num" w:pos="709"/>
        </w:tabs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 xml:space="preserve">            424 950 kWh (+/-15%) dla C21</w:t>
      </w:r>
    </w:p>
    <w:p w:rsidR="003C0842" w:rsidRPr="00100A4F" w:rsidRDefault="003C0842" w:rsidP="003C0842">
      <w:pPr>
        <w:ind w:left="284"/>
        <w:jc w:val="both"/>
        <w:rPr>
          <w:rFonts w:ascii="Arial" w:hAnsi="Arial" w:cs="Arial"/>
        </w:rPr>
      </w:pPr>
    </w:p>
    <w:p w:rsidR="003C0842" w:rsidRPr="00100A4F" w:rsidRDefault="003C0842" w:rsidP="003C0842">
      <w:pPr>
        <w:numPr>
          <w:ilvl w:val="0"/>
          <w:numId w:val="1"/>
        </w:numPr>
        <w:tabs>
          <w:tab w:val="left" w:pos="709"/>
        </w:tabs>
        <w:ind w:hanging="1156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 xml:space="preserve">            129 653 kWh (+/-15%) dla C22a w tym: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szczyt (dzień)</w:t>
      </w:r>
      <w:r w:rsidRPr="00100A4F">
        <w:rPr>
          <w:rFonts w:ascii="Arial" w:hAnsi="Arial" w:cs="Arial"/>
        </w:rPr>
        <w:tab/>
      </w:r>
      <w:r w:rsidRPr="00100A4F">
        <w:rPr>
          <w:rFonts w:ascii="Arial" w:hAnsi="Arial" w:cs="Arial"/>
        </w:rPr>
        <w:tab/>
        <w:t xml:space="preserve">         38 599  kWh</w:t>
      </w:r>
    </w:p>
    <w:p w:rsidR="003C0842" w:rsidRPr="00100A4F" w:rsidRDefault="003C0842" w:rsidP="003C0842">
      <w:pPr>
        <w:numPr>
          <w:ilvl w:val="2"/>
          <w:numId w:val="1"/>
        </w:numPr>
        <w:tabs>
          <w:tab w:val="num" w:pos="2520"/>
        </w:tabs>
        <w:ind w:hanging="900"/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poza szczytem (noc)</w:t>
      </w:r>
      <w:r w:rsidRPr="00100A4F">
        <w:rPr>
          <w:rFonts w:ascii="Arial" w:hAnsi="Arial" w:cs="Arial"/>
        </w:rPr>
        <w:tab/>
        <w:t xml:space="preserve">         91 054  kWh</w:t>
      </w:r>
    </w:p>
    <w:p w:rsidR="003C0842" w:rsidRPr="001B4E54" w:rsidRDefault="003C0842" w:rsidP="003C0842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C0842" w:rsidRPr="00100A4F" w:rsidRDefault="003C0842" w:rsidP="003C0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</w:t>
      </w:r>
      <w:r w:rsidR="00254BA0">
        <w:rPr>
          <w:rFonts w:ascii="Arial" w:hAnsi="Arial" w:cs="Arial"/>
        </w:rPr>
        <w:t xml:space="preserve">energii elektrycznej </w:t>
      </w:r>
      <w:r>
        <w:rPr>
          <w:rFonts w:ascii="Arial" w:hAnsi="Arial" w:cs="Arial"/>
        </w:rPr>
        <w:t xml:space="preserve">dotyczy okresu </w:t>
      </w:r>
      <w:r w:rsidRPr="00BD75B2">
        <w:rPr>
          <w:rFonts w:ascii="Arial" w:hAnsi="Arial" w:cs="Arial"/>
        </w:rPr>
        <w:t xml:space="preserve">od dnia 01.05.2017 r. do 30 kwietnia 2018 r. dla obiektów </w:t>
      </w:r>
      <w:r>
        <w:rPr>
          <w:rFonts w:ascii="Arial" w:hAnsi="Arial" w:cs="Arial"/>
        </w:rPr>
        <w:t xml:space="preserve">należących do </w:t>
      </w:r>
      <w:r w:rsidR="0058070A" w:rsidRPr="0098436D">
        <w:rPr>
          <w:rFonts w:ascii="Arial" w:hAnsi="Arial" w:cs="Arial"/>
        </w:rPr>
        <w:t>Zamawiających</w:t>
      </w:r>
      <w:r w:rsidRPr="0098436D">
        <w:rPr>
          <w:rFonts w:ascii="Arial" w:hAnsi="Arial" w:cs="Arial"/>
        </w:rPr>
        <w:t xml:space="preserve">: </w:t>
      </w:r>
      <w:r w:rsidRPr="00BD75B2">
        <w:rPr>
          <w:rFonts w:ascii="Arial" w:hAnsi="Arial" w:cs="Arial"/>
        </w:rPr>
        <w:t>Miejskiego Ośrodka Pomocy Społecznej w Kołobrzegu, Regionalnego Centrum Kultury w Kołobrzegu, Miejskiej Biblioteki Publicznej</w:t>
      </w:r>
      <w:r>
        <w:rPr>
          <w:rFonts w:ascii="Arial" w:hAnsi="Arial" w:cs="Arial"/>
        </w:rPr>
        <w:t xml:space="preserve"> w Kołobrzegu</w:t>
      </w:r>
      <w:r w:rsidRPr="00BD75B2">
        <w:rPr>
          <w:rFonts w:ascii="Arial" w:hAnsi="Arial" w:cs="Arial"/>
        </w:rPr>
        <w:t xml:space="preserve">,  Miejskiego Ośrodka Sportu i Rekreacji w Kołobrzegu, 7 szkół, 7 przedszkoli i 1 żłobka i obiektów Gminy Miasto Kołobrzeg takich jak oświetlenie terenów publicznych, budynki administracyjne i obiekty małej architektury.  Energię elektryczną należy </w:t>
      </w:r>
      <w:r w:rsidRPr="00100A4F">
        <w:rPr>
          <w:rFonts w:ascii="Arial" w:hAnsi="Arial" w:cs="Arial"/>
        </w:rPr>
        <w:t>dostarczyć do 115</w:t>
      </w:r>
      <w:r w:rsidRPr="00100A4F">
        <w:rPr>
          <w:rFonts w:ascii="Arial" w:hAnsi="Arial" w:cs="Arial"/>
          <w:b/>
        </w:rPr>
        <w:t xml:space="preserve"> </w:t>
      </w:r>
      <w:r w:rsidRPr="00100A4F">
        <w:rPr>
          <w:rFonts w:ascii="Arial" w:hAnsi="Arial" w:cs="Arial"/>
        </w:rPr>
        <w:t>punktów poboru w tym: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C 21</w:t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 xml:space="preserve">7 </w:t>
      </w:r>
      <w:r w:rsidRPr="00100A4F">
        <w:rPr>
          <w:rFonts w:ascii="Arial" w:hAnsi="Arial" w:cs="Arial"/>
        </w:rPr>
        <w:tab/>
        <w:t>punktów poboru,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C12a</w:t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 xml:space="preserve">3 </w:t>
      </w:r>
      <w:r w:rsidRPr="00100A4F">
        <w:rPr>
          <w:rFonts w:ascii="Arial" w:hAnsi="Arial" w:cs="Arial"/>
        </w:rPr>
        <w:tab/>
        <w:t>punkty poboru,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C12b</w:t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 xml:space="preserve">59 </w:t>
      </w:r>
      <w:r w:rsidRPr="00100A4F">
        <w:rPr>
          <w:rFonts w:ascii="Arial" w:hAnsi="Arial" w:cs="Arial"/>
        </w:rPr>
        <w:tab/>
        <w:t>punkty poboru,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C11</w:t>
      </w:r>
      <w:r w:rsidR="00100A4F">
        <w:rPr>
          <w:rFonts w:ascii="Arial" w:hAnsi="Arial" w:cs="Arial"/>
        </w:rPr>
        <w:tab/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>42</w:t>
      </w:r>
      <w:r w:rsidRPr="00100A4F">
        <w:rPr>
          <w:rFonts w:ascii="Arial" w:hAnsi="Arial" w:cs="Arial"/>
        </w:rPr>
        <w:tab/>
        <w:t>punkty poboru.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C22a</w:t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>1</w:t>
      </w:r>
      <w:r w:rsidRPr="00100A4F">
        <w:rPr>
          <w:rFonts w:ascii="Arial" w:hAnsi="Arial" w:cs="Arial"/>
        </w:rPr>
        <w:tab/>
        <w:t>punkt poboru</w:t>
      </w:r>
    </w:p>
    <w:p w:rsidR="003C0842" w:rsidRPr="00100A4F" w:rsidRDefault="003C0842" w:rsidP="003C0842">
      <w:pPr>
        <w:jc w:val="both"/>
        <w:rPr>
          <w:rFonts w:ascii="Arial" w:hAnsi="Arial" w:cs="Arial"/>
        </w:rPr>
      </w:pPr>
      <w:r w:rsidRPr="00100A4F">
        <w:rPr>
          <w:rFonts w:ascii="Arial" w:hAnsi="Arial" w:cs="Arial"/>
        </w:rPr>
        <w:t>dla grupy taryfowej B21</w:t>
      </w:r>
      <w:r w:rsidR="00100A4F">
        <w:rPr>
          <w:rFonts w:ascii="Arial" w:hAnsi="Arial" w:cs="Arial"/>
        </w:rPr>
        <w:tab/>
      </w:r>
      <w:r w:rsidRPr="00100A4F">
        <w:rPr>
          <w:rFonts w:ascii="Arial" w:hAnsi="Arial" w:cs="Arial"/>
        </w:rPr>
        <w:tab/>
        <w:t>-</w:t>
      </w:r>
      <w:r w:rsidRPr="00100A4F">
        <w:rPr>
          <w:rFonts w:ascii="Arial" w:hAnsi="Arial" w:cs="Arial"/>
        </w:rPr>
        <w:tab/>
        <w:t>3</w:t>
      </w:r>
      <w:r w:rsidRPr="00100A4F">
        <w:rPr>
          <w:rFonts w:ascii="Arial" w:hAnsi="Arial" w:cs="Arial"/>
        </w:rPr>
        <w:tab/>
        <w:t>punkty poboru</w:t>
      </w:r>
    </w:p>
    <w:p w:rsidR="003C0842" w:rsidRPr="00BD75B2" w:rsidRDefault="003C0842" w:rsidP="003C0842">
      <w:pPr>
        <w:jc w:val="both"/>
        <w:rPr>
          <w:rFonts w:ascii="Arial" w:hAnsi="Arial" w:cs="Arial"/>
        </w:rPr>
      </w:pPr>
    </w:p>
    <w:p w:rsidR="003C0842" w:rsidRDefault="003C0842" w:rsidP="003C0842">
      <w:pPr>
        <w:jc w:val="both"/>
        <w:rPr>
          <w:rFonts w:ascii="Arial" w:hAnsi="Arial" w:cs="Arial"/>
        </w:rPr>
      </w:pPr>
      <w:r w:rsidRPr="00BD75B2">
        <w:rPr>
          <w:rFonts w:ascii="Arial" w:hAnsi="Arial" w:cs="Arial"/>
        </w:rPr>
        <w:t xml:space="preserve">Ilość punktów poboru energii elektrycznej należących do Gminy Miasto Kołobrzeg </w:t>
      </w:r>
      <w:r w:rsidRPr="00100A4F">
        <w:rPr>
          <w:rFonts w:ascii="Arial" w:hAnsi="Arial" w:cs="Arial"/>
        </w:rPr>
        <w:t xml:space="preserve">– 77, ilość punktów poboru energii elektrycznej należących do zespołów szkół, gimnazjów, szkół podstawowych, przedszkoli miejskich i żłobka – 19, ilość punktów poboru energii elektrycznej należących do Miejskiego Ośrodka Pomocy Społecznej – 4, ilość punktów poboru energii elektrycznej należących do Regionalnego Centrum Kultury – 3 punkty, ilość punktów poboru energii elektrycznej należących do Miejskiego Ośrodka Sportu i Rekreacji 10 punktów, ilość punktów poboru energii elektrycznej należących do Miejskiej Biblioteki Publicznej - 2 . </w:t>
      </w:r>
    </w:p>
    <w:p w:rsidR="003C0842" w:rsidRPr="00BD75B2" w:rsidRDefault="003C0842" w:rsidP="003C0842">
      <w:pPr>
        <w:jc w:val="both"/>
        <w:rPr>
          <w:rFonts w:ascii="Arial" w:hAnsi="Arial" w:cs="Arial"/>
        </w:rPr>
      </w:pPr>
    </w:p>
    <w:p w:rsidR="003C0842" w:rsidRPr="00BD75B2" w:rsidRDefault="003C0842" w:rsidP="003C0842">
      <w:pPr>
        <w:jc w:val="both"/>
        <w:rPr>
          <w:rFonts w:ascii="Arial" w:hAnsi="Arial" w:cs="Arial"/>
        </w:rPr>
      </w:pPr>
    </w:p>
    <w:p w:rsidR="003C0842" w:rsidRPr="00B450A1" w:rsidRDefault="003C0842" w:rsidP="003C0842">
      <w:pPr>
        <w:jc w:val="both"/>
        <w:rPr>
          <w:rFonts w:ascii="Arial" w:hAnsi="Arial" w:cs="Arial"/>
        </w:rPr>
      </w:pPr>
      <w:r w:rsidRPr="00B450A1">
        <w:rPr>
          <w:rFonts w:ascii="Arial" w:hAnsi="Arial" w:cs="Arial"/>
        </w:rPr>
        <w:t xml:space="preserve">Wszystkie punkty poboru energii elektrycznej przyłączone są do elektroenergetycznej sieci dystrybucyjnej ENERGA OPERATOR SA (OSD). </w:t>
      </w:r>
      <w:r w:rsidRPr="00B450A1">
        <w:rPr>
          <w:rFonts w:ascii="Arial" w:hAnsi="Arial" w:cs="Arial"/>
          <w:b/>
        </w:rPr>
        <w:t xml:space="preserve">Dla 6 punktów poboru energii elektrycznej rozliczanych w grupie taryfowej C11 i C12B będzie to pierwsza zmiana </w:t>
      </w:r>
      <w:r w:rsidR="0058070A" w:rsidRPr="00B450A1">
        <w:rPr>
          <w:rFonts w:ascii="Arial" w:hAnsi="Arial" w:cs="Arial"/>
          <w:b/>
        </w:rPr>
        <w:t>Wykonawcy</w:t>
      </w:r>
      <w:r w:rsidRPr="00B450A1">
        <w:rPr>
          <w:rFonts w:ascii="Arial" w:hAnsi="Arial" w:cs="Arial"/>
          <w:b/>
        </w:rPr>
        <w:t xml:space="preserve">. </w:t>
      </w:r>
      <w:r w:rsidRPr="00B450A1">
        <w:rPr>
          <w:rFonts w:ascii="Arial" w:hAnsi="Arial" w:cs="Arial"/>
        </w:rPr>
        <w:t xml:space="preserve">Umowy kompleksowe dla wspomnianych punktów poboru energii elektrycznej zawarte są </w:t>
      </w:r>
      <w:r w:rsidR="00100A4F" w:rsidRPr="00B450A1">
        <w:rPr>
          <w:rFonts w:ascii="Arial" w:hAnsi="Arial" w:cs="Arial"/>
        </w:rPr>
        <w:t xml:space="preserve">z ENERGA-OBRÓT SA </w:t>
      </w:r>
      <w:r w:rsidRPr="00B450A1">
        <w:rPr>
          <w:rFonts w:ascii="Arial" w:hAnsi="Arial" w:cs="Arial"/>
        </w:rPr>
        <w:t xml:space="preserve">na czas określony t.j. do 30 kwietnia 2017 r. </w:t>
      </w:r>
      <w:r w:rsidRPr="00B450A1">
        <w:rPr>
          <w:rFonts w:ascii="Arial" w:hAnsi="Arial" w:cs="Arial"/>
          <w:b/>
          <w:i/>
        </w:rPr>
        <w:t xml:space="preserve">Aby rozwiązanie umów kompleksowych, zawartych </w:t>
      </w:r>
      <w:r w:rsidR="00254BA0" w:rsidRPr="00B450A1">
        <w:rPr>
          <w:rFonts w:ascii="Arial" w:hAnsi="Arial" w:cs="Arial"/>
          <w:b/>
          <w:i/>
        </w:rPr>
        <w:t>na czas określony</w:t>
      </w:r>
      <w:r w:rsidRPr="00B450A1">
        <w:rPr>
          <w:rFonts w:ascii="Arial" w:hAnsi="Arial" w:cs="Arial"/>
          <w:b/>
          <w:i/>
        </w:rPr>
        <w:t xml:space="preserve"> było skuteczne, należy co najmniej na dwa miesiące przed terminem obowiązywania umowy </w:t>
      </w:r>
      <w:r w:rsidR="00254BA0" w:rsidRPr="00B450A1">
        <w:rPr>
          <w:rFonts w:ascii="Arial" w:hAnsi="Arial" w:cs="Arial"/>
          <w:b/>
          <w:i/>
        </w:rPr>
        <w:t xml:space="preserve">złożyć </w:t>
      </w:r>
      <w:r w:rsidRPr="00B450A1">
        <w:rPr>
          <w:rFonts w:ascii="Arial" w:hAnsi="Arial" w:cs="Arial"/>
          <w:b/>
          <w:i/>
        </w:rPr>
        <w:t xml:space="preserve">oświadczenia woli rozwiązania tych umów. </w:t>
      </w:r>
      <w:r w:rsidRPr="00B450A1">
        <w:rPr>
          <w:rFonts w:ascii="Arial" w:hAnsi="Arial" w:cs="Arial"/>
        </w:rPr>
        <w:t xml:space="preserve">Punkty poboru energii elektrycznej rozliczane w grupie taryfowej B21 mają układy pomiarowe zgodne z wymaganiami ENERGA OPERATOR SA i są przystosowane do TPA. Będzie to dla nich kolejna zmiana </w:t>
      </w:r>
      <w:r w:rsidR="0058070A" w:rsidRPr="00B450A1">
        <w:rPr>
          <w:rFonts w:ascii="Arial" w:hAnsi="Arial" w:cs="Arial"/>
        </w:rPr>
        <w:t>sprzedawcy</w:t>
      </w:r>
      <w:r w:rsidRPr="00B450A1">
        <w:rPr>
          <w:rFonts w:ascii="Arial" w:hAnsi="Arial" w:cs="Arial"/>
        </w:rPr>
        <w:t xml:space="preserve">. </w:t>
      </w:r>
    </w:p>
    <w:p w:rsidR="003C0842" w:rsidRPr="00B450A1" w:rsidRDefault="0058070A" w:rsidP="003C0842">
      <w:pPr>
        <w:jc w:val="both"/>
        <w:rPr>
          <w:rFonts w:ascii="Arial" w:hAnsi="Arial" w:cs="Arial"/>
        </w:rPr>
      </w:pPr>
      <w:r w:rsidRPr="00B450A1">
        <w:rPr>
          <w:rFonts w:ascii="Arial" w:hAnsi="Arial" w:cs="Arial"/>
          <w:b/>
          <w:bCs/>
          <w:i/>
        </w:rPr>
        <w:t>Zamawiający</w:t>
      </w:r>
      <w:r w:rsidR="003C0842" w:rsidRPr="00B450A1">
        <w:rPr>
          <w:rFonts w:ascii="Arial" w:hAnsi="Arial" w:cs="Arial"/>
          <w:b/>
          <w:bCs/>
          <w:i/>
        </w:rPr>
        <w:t xml:space="preserve"> udostępnią </w:t>
      </w:r>
      <w:r w:rsidRPr="00B450A1">
        <w:rPr>
          <w:rFonts w:ascii="Arial" w:hAnsi="Arial" w:cs="Arial"/>
          <w:b/>
          <w:bCs/>
          <w:i/>
        </w:rPr>
        <w:t>Wykonawcy</w:t>
      </w:r>
      <w:r w:rsidR="003C0842" w:rsidRPr="00B450A1">
        <w:rPr>
          <w:rFonts w:ascii="Arial" w:hAnsi="Arial" w:cs="Arial"/>
          <w:b/>
          <w:bCs/>
          <w:i/>
        </w:rPr>
        <w:t xml:space="preserve"> wszystkie dane i dokumenty niezbędne do dokonania zgłoszenia zmiany </w:t>
      </w:r>
      <w:r w:rsidRPr="00B450A1">
        <w:rPr>
          <w:rFonts w:ascii="Arial" w:hAnsi="Arial" w:cs="Arial"/>
          <w:b/>
          <w:bCs/>
          <w:i/>
        </w:rPr>
        <w:t>Wykonawcy</w:t>
      </w:r>
      <w:r w:rsidR="003C0842" w:rsidRPr="00B450A1">
        <w:rPr>
          <w:rFonts w:ascii="Arial" w:hAnsi="Arial" w:cs="Arial"/>
          <w:b/>
          <w:bCs/>
          <w:i/>
        </w:rPr>
        <w:t xml:space="preserve"> wraz z niezbędnymi pełnomocnictwami upoważniającymi do reprezentowania  </w:t>
      </w:r>
      <w:r w:rsidRPr="00B450A1">
        <w:rPr>
          <w:rFonts w:ascii="Arial" w:hAnsi="Arial" w:cs="Arial"/>
          <w:b/>
          <w:bCs/>
          <w:i/>
        </w:rPr>
        <w:t>Zamawiających</w:t>
      </w:r>
      <w:r w:rsidR="003C0842" w:rsidRPr="00B450A1">
        <w:rPr>
          <w:rFonts w:ascii="Arial" w:hAnsi="Arial" w:cs="Arial"/>
          <w:b/>
          <w:bCs/>
          <w:i/>
        </w:rPr>
        <w:t xml:space="preserve"> w kontaktach z OSD i spółkami obrotu energią elektryczną.</w:t>
      </w:r>
    </w:p>
    <w:p w:rsidR="003C0842" w:rsidRPr="00BD75B2" w:rsidRDefault="003C0842" w:rsidP="003C0842">
      <w:pPr>
        <w:jc w:val="both"/>
        <w:rPr>
          <w:rFonts w:ascii="Arial" w:hAnsi="Arial" w:cs="Arial"/>
        </w:rPr>
      </w:pPr>
    </w:p>
    <w:p w:rsidR="003C0842" w:rsidRPr="00B450A1" w:rsidRDefault="003C0842" w:rsidP="003C0842">
      <w:pPr>
        <w:jc w:val="both"/>
        <w:rPr>
          <w:rFonts w:ascii="Arial" w:hAnsi="Arial" w:cs="Arial"/>
        </w:rPr>
      </w:pPr>
      <w:r w:rsidRPr="00B450A1">
        <w:rPr>
          <w:rFonts w:ascii="Arial" w:hAnsi="Arial" w:cs="Arial"/>
        </w:rPr>
        <w:lastRenderedPageBreak/>
        <w:t xml:space="preserve">Nowy </w:t>
      </w:r>
      <w:r w:rsidR="0058070A" w:rsidRPr="00B450A1">
        <w:rPr>
          <w:rFonts w:ascii="Arial" w:hAnsi="Arial" w:cs="Arial"/>
        </w:rPr>
        <w:t>Wykonawca</w:t>
      </w:r>
      <w:r w:rsidRPr="00B450A1">
        <w:rPr>
          <w:rFonts w:ascii="Arial" w:hAnsi="Arial" w:cs="Arial"/>
        </w:rPr>
        <w:t xml:space="preserve"> otrzyma stosowne pełnomocnictwa do zawarcia w imieniu  </w:t>
      </w:r>
      <w:r w:rsidR="0058070A" w:rsidRPr="00B450A1">
        <w:rPr>
          <w:rFonts w:ascii="Arial" w:hAnsi="Arial" w:cs="Arial"/>
        </w:rPr>
        <w:t>Zamawiających</w:t>
      </w:r>
      <w:r w:rsidRPr="00B450A1">
        <w:rPr>
          <w:rFonts w:ascii="Arial" w:hAnsi="Arial" w:cs="Arial"/>
        </w:rPr>
        <w:t xml:space="preserve"> umów o świadczenie usług dystrybucji energii elektrycznej i przeprowadzenia procedury zmiany </w:t>
      </w:r>
      <w:r w:rsidR="0058070A" w:rsidRPr="00B450A1">
        <w:rPr>
          <w:rFonts w:ascii="Arial" w:hAnsi="Arial" w:cs="Arial"/>
        </w:rPr>
        <w:t>Wykonawcy</w:t>
      </w:r>
      <w:r w:rsidRPr="00B450A1">
        <w:rPr>
          <w:rFonts w:ascii="Arial" w:hAnsi="Arial" w:cs="Arial"/>
        </w:rPr>
        <w:t xml:space="preserve">. </w:t>
      </w:r>
    </w:p>
    <w:p w:rsidR="003C0842" w:rsidRPr="00B450A1" w:rsidRDefault="003C0842" w:rsidP="003C0842">
      <w:pPr>
        <w:rPr>
          <w:rFonts w:ascii="Arial" w:hAnsi="Arial" w:cs="Arial"/>
        </w:rPr>
      </w:pPr>
    </w:p>
    <w:p w:rsidR="003C0842" w:rsidRPr="00B450A1" w:rsidRDefault="003C0842" w:rsidP="003C0842">
      <w:pPr>
        <w:keepLines/>
        <w:spacing w:before="120"/>
        <w:jc w:val="both"/>
        <w:rPr>
          <w:rFonts w:ascii="Arial" w:hAnsi="Arial" w:cs="Arial"/>
        </w:rPr>
      </w:pPr>
      <w:r w:rsidRPr="00B450A1">
        <w:rPr>
          <w:rFonts w:ascii="Arial" w:hAnsi="Arial" w:cs="Arial"/>
        </w:rPr>
        <w:t xml:space="preserve">Dla punktów poboru, dla których nastąpi zmiana </w:t>
      </w:r>
      <w:r w:rsidR="0058070A" w:rsidRPr="00B450A1">
        <w:rPr>
          <w:rFonts w:ascii="Arial" w:hAnsi="Arial" w:cs="Arial"/>
        </w:rPr>
        <w:t>Wykonawcy</w:t>
      </w:r>
      <w:r w:rsidRPr="00B450A1">
        <w:rPr>
          <w:rFonts w:ascii="Arial" w:hAnsi="Arial" w:cs="Arial"/>
        </w:rPr>
        <w:t xml:space="preserve"> aktualnym sprzedawcą energii elektrycznej jest PGE Obrót SA </w:t>
      </w:r>
      <w:r w:rsidRPr="00B450A1">
        <w:rPr>
          <w:rFonts w:ascii="Arial" w:hAnsi="Arial" w:cs="Arial"/>
          <w:bCs/>
        </w:rPr>
        <w:t>Oddział z siedzibą w Skarżysku- Kamiennej</w:t>
      </w:r>
      <w:r w:rsidRPr="00B450A1">
        <w:rPr>
          <w:rFonts w:ascii="Arial" w:hAnsi="Arial" w:cs="Arial"/>
        </w:rPr>
        <w:t xml:space="preserve"> . Umowa sprzedaży kończy się w dniu 30 kwietnia 2017 r. Dla punktów poboru, dla których będzie to kolejna zmiana </w:t>
      </w:r>
      <w:r w:rsidR="0058070A" w:rsidRPr="00B450A1">
        <w:rPr>
          <w:rFonts w:ascii="Arial" w:hAnsi="Arial" w:cs="Arial"/>
        </w:rPr>
        <w:t>Wykonawcy</w:t>
      </w:r>
      <w:r w:rsidRPr="00B450A1">
        <w:rPr>
          <w:rFonts w:ascii="Arial" w:hAnsi="Arial" w:cs="Arial"/>
        </w:rPr>
        <w:t xml:space="preserve"> zawarte są z ENERGA OPERATOR SA umowy na świadczenie usług dystrybucji na czas nieokreślony. Za realizacje zamówienia odpowiedzialni będą upoważnieni przedstawiciele </w:t>
      </w:r>
      <w:r w:rsidR="0058070A" w:rsidRPr="00B450A1">
        <w:rPr>
          <w:rFonts w:ascii="Arial" w:hAnsi="Arial" w:cs="Arial"/>
        </w:rPr>
        <w:t>Zamawiających</w:t>
      </w:r>
      <w:r w:rsidRPr="00B450A1">
        <w:rPr>
          <w:rFonts w:ascii="Arial" w:hAnsi="Arial" w:cs="Arial"/>
        </w:rPr>
        <w:t xml:space="preserve">. Wykonawca otrzyma od </w:t>
      </w:r>
      <w:r w:rsidR="0058070A" w:rsidRPr="00B450A1">
        <w:rPr>
          <w:rFonts w:ascii="Arial" w:hAnsi="Arial" w:cs="Arial"/>
        </w:rPr>
        <w:t>Zamawiających</w:t>
      </w:r>
      <w:r w:rsidRPr="00B450A1">
        <w:rPr>
          <w:rFonts w:ascii="Arial" w:hAnsi="Arial" w:cs="Arial"/>
        </w:rPr>
        <w:t xml:space="preserve"> wszystkie  dane, dokumenty lub ich kopie oraz pełnomocnictwa, które niezbędne są do zgłoszenia OSD zmiany </w:t>
      </w:r>
      <w:r w:rsidR="0058070A" w:rsidRPr="00B450A1">
        <w:rPr>
          <w:rFonts w:ascii="Arial" w:hAnsi="Arial" w:cs="Arial"/>
        </w:rPr>
        <w:t>Wykonawcy</w:t>
      </w:r>
      <w:r w:rsidRPr="00B450A1">
        <w:rPr>
          <w:rFonts w:ascii="Arial" w:hAnsi="Arial" w:cs="Arial"/>
        </w:rPr>
        <w:t xml:space="preserve"> i zawarcia umów o świadczenie usług dystrybucji energii elektrycznej.</w:t>
      </w:r>
    </w:p>
    <w:p w:rsidR="003C0842" w:rsidRPr="00B450A1" w:rsidRDefault="003C0842" w:rsidP="003C0842">
      <w:pPr>
        <w:keepLines/>
        <w:spacing w:before="120"/>
        <w:jc w:val="both"/>
        <w:rPr>
          <w:i/>
        </w:rPr>
      </w:pPr>
      <w:r w:rsidRPr="00B450A1">
        <w:rPr>
          <w:b/>
          <w:i/>
        </w:rPr>
        <w:t xml:space="preserve"> </w:t>
      </w:r>
    </w:p>
    <w:p w:rsidR="003C0842" w:rsidRPr="00BD75B2" w:rsidRDefault="003C0842" w:rsidP="003C0842">
      <w:pPr>
        <w:jc w:val="both"/>
        <w:rPr>
          <w:rFonts w:ascii="Arial" w:hAnsi="Arial" w:cs="Arial"/>
          <w:sz w:val="24"/>
        </w:rPr>
      </w:pPr>
    </w:p>
    <w:p w:rsidR="003C0842" w:rsidRPr="00BD75B2" w:rsidRDefault="003C0842" w:rsidP="003C0842">
      <w:pPr>
        <w:jc w:val="both"/>
        <w:rPr>
          <w:rFonts w:ascii="Arial" w:hAnsi="Arial" w:cs="Arial"/>
          <w:b/>
          <w:bCs/>
          <w:sz w:val="24"/>
        </w:rPr>
      </w:pPr>
      <w:r w:rsidRPr="00BD75B2">
        <w:rPr>
          <w:rFonts w:ascii="Arial" w:hAnsi="Arial" w:cs="Arial"/>
          <w:b/>
          <w:bCs/>
          <w:sz w:val="24"/>
        </w:rPr>
        <w:t>2.  DODATKOWE WYMAGANIA ZAMAWIAJĄCEGO</w:t>
      </w:r>
    </w:p>
    <w:p w:rsidR="003C0842" w:rsidRPr="00BD75B2" w:rsidRDefault="003C0842" w:rsidP="003C0842">
      <w:pPr>
        <w:jc w:val="both"/>
        <w:rPr>
          <w:rFonts w:ascii="Arial" w:hAnsi="Arial" w:cs="Arial"/>
          <w:sz w:val="24"/>
        </w:rPr>
      </w:pPr>
    </w:p>
    <w:p w:rsidR="003C0842" w:rsidRPr="00BD75B2" w:rsidRDefault="003C0842" w:rsidP="003C0842">
      <w:pPr>
        <w:tabs>
          <w:tab w:val="num" w:pos="2160"/>
        </w:tabs>
        <w:jc w:val="both"/>
        <w:rPr>
          <w:rFonts w:ascii="Arial" w:hAnsi="Arial" w:cs="Arial"/>
          <w:bCs/>
        </w:rPr>
      </w:pPr>
      <w:r w:rsidRPr="00BD75B2">
        <w:rPr>
          <w:rFonts w:ascii="Arial" w:hAnsi="Arial" w:cs="Arial"/>
          <w:bCs/>
        </w:rPr>
        <w:t xml:space="preserve">Wykonawca zobowiązany jest do podpisania umów </w:t>
      </w:r>
      <w:r w:rsidR="00176EAA">
        <w:rPr>
          <w:rFonts w:ascii="Arial" w:hAnsi="Arial" w:cs="Arial"/>
          <w:bCs/>
        </w:rPr>
        <w:t xml:space="preserve">dwustronnych </w:t>
      </w:r>
      <w:bookmarkStart w:id="0" w:name="_GoBack"/>
      <w:bookmarkEnd w:id="0"/>
      <w:r w:rsidRPr="00BD75B2">
        <w:rPr>
          <w:rFonts w:ascii="Arial" w:hAnsi="Arial" w:cs="Arial"/>
          <w:bCs/>
        </w:rPr>
        <w:t xml:space="preserve">na sprzedaż energii z poszczególnymi </w:t>
      </w:r>
      <w:r w:rsidR="0058070A" w:rsidRPr="00B450A1">
        <w:rPr>
          <w:rFonts w:ascii="Arial" w:hAnsi="Arial" w:cs="Arial"/>
          <w:bCs/>
        </w:rPr>
        <w:t>Zamawiający</w:t>
      </w:r>
      <w:r w:rsidRPr="00B450A1">
        <w:rPr>
          <w:rFonts w:ascii="Arial" w:hAnsi="Arial" w:cs="Arial"/>
          <w:bCs/>
        </w:rPr>
        <w:t xml:space="preserve">mi </w:t>
      </w:r>
      <w:r w:rsidRPr="00BD75B2">
        <w:rPr>
          <w:rFonts w:ascii="Arial" w:hAnsi="Arial" w:cs="Arial"/>
          <w:bCs/>
        </w:rPr>
        <w:t xml:space="preserve">wskazanym w umowie oraz dokonania w imieniu </w:t>
      </w:r>
      <w:r w:rsidR="0058070A">
        <w:rPr>
          <w:rFonts w:ascii="Arial" w:hAnsi="Arial" w:cs="Arial"/>
          <w:bCs/>
        </w:rPr>
        <w:t>Zamawiających</w:t>
      </w:r>
      <w:r w:rsidRPr="00BD75B2">
        <w:rPr>
          <w:rFonts w:ascii="Arial" w:hAnsi="Arial" w:cs="Arial"/>
          <w:bCs/>
        </w:rPr>
        <w:t xml:space="preserve"> zgłoszeń zmiany </w:t>
      </w:r>
      <w:r w:rsidR="0058070A">
        <w:rPr>
          <w:rFonts w:ascii="Arial" w:hAnsi="Arial" w:cs="Arial"/>
          <w:bCs/>
        </w:rPr>
        <w:t>Wykonawcy</w:t>
      </w:r>
      <w:r w:rsidRPr="00BD75B2">
        <w:rPr>
          <w:rFonts w:ascii="Arial" w:hAnsi="Arial" w:cs="Arial"/>
          <w:bCs/>
        </w:rPr>
        <w:t xml:space="preserve"> energii elektrycznej a przypadku pierwszej zmiany </w:t>
      </w:r>
      <w:r w:rsidR="0058070A">
        <w:rPr>
          <w:rFonts w:ascii="Arial" w:hAnsi="Arial" w:cs="Arial"/>
          <w:bCs/>
        </w:rPr>
        <w:t>Wykonawcy</w:t>
      </w:r>
      <w:r w:rsidRPr="00BD75B2">
        <w:rPr>
          <w:rFonts w:ascii="Arial" w:hAnsi="Arial" w:cs="Arial"/>
          <w:bCs/>
        </w:rPr>
        <w:t xml:space="preserve"> doprowadzi do podpisania umów o świadczenie usług dystrybucji. </w:t>
      </w:r>
    </w:p>
    <w:p w:rsidR="00254BA0" w:rsidRPr="00BD75B2" w:rsidRDefault="00254BA0" w:rsidP="003C0842">
      <w:pPr>
        <w:tabs>
          <w:tab w:val="num" w:pos="2160"/>
        </w:tabs>
        <w:jc w:val="both"/>
        <w:rPr>
          <w:rFonts w:ascii="Arial" w:hAnsi="Arial" w:cs="Arial"/>
          <w:bCs/>
        </w:rPr>
      </w:pPr>
    </w:p>
    <w:p w:rsidR="003C0842" w:rsidRDefault="003C0842" w:rsidP="003C0842">
      <w:pPr>
        <w:pStyle w:val="Normal0"/>
        <w:rPr>
          <w:shd w:val="clear" w:color="auto" w:fill="FFFFFF"/>
        </w:rPr>
      </w:pPr>
    </w:p>
    <w:p w:rsidR="00D11022" w:rsidRDefault="00D11022" w:rsidP="003C0842">
      <w:pPr>
        <w:pStyle w:val="Tekstpodstawowy"/>
        <w:jc w:val="both"/>
      </w:pPr>
    </w:p>
    <w:sectPr w:rsidR="00D11022" w:rsidSect="00EB0E1F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079" w:right="991" w:bottom="1418" w:left="1134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B7" w:rsidRDefault="005C42B7">
      <w:r>
        <w:separator/>
      </w:r>
    </w:p>
  </w:endnote>
  <w:endnote w:type="continuationSeparator" w:id="0">
    <w:p w:rsidR="005C42B7" w:rsidRDefault="005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Default="00783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E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6914" w:rsidRDefault="005C42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Default="007834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E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E1F" w:rsidRDefault="00EB0E1F" w:rsidP="003A3741">
    <w:pPr>
      <w:pStyle w:val="Tekstpodstawowy21"/>
      <w:rPr>
        <w:rFonts w:ascii="Arial" w:hAnsi="Arial" w:cs="Arial"/>
        <w:b/>
        <w:sz w:val="16"/>
        <w:szCs w:val="16"/>
      </w:rPr>
    </w:pPr>
  </w:p>
  <w:p w:rsidR="003A3741" w:rsidRPr="006675C6" w:rsidRDefault="003A3741" w:rsidP="003A3741">
    <w:pPr>
      <w:pStyle w:val="Tekstpodstawowy21"/>
      <w:rPr>
        <w:rFonts w:ascii="Arial" w:hAnsi="Arial" w:cs="Arial"/>
        <w:sz w:val="16"/>
        <w:szCs w:val="16"/>
      </w:rPr>
    </w:pPr>
    <w:r w:rsidRPr="006675C6">
      <w:rPr>
        <w:rFonts w:ascii="Arial" w:hAnsi="Arial" w:cs="Arial"/>
        <w:b/>
        <w:sz w:val="16"/>
        <w:szCs w:val="16"/>
      </w:rPr>
      <w:t>Część I</w:t>
    </w:r>
    <w:r>
      <w:rPr>
        <w:rFonts w:ascii="Arial" w:hAnsi="Arial" w:cs="Arial"/>
        <w:b/>
        <w:sz w:val="16"/>
        <w:szCs w:val="16"/>
      </w:rPr>
      <w:t>II</w:t>
    </w:r>
    <w:r w:rsidRPr="006675C6">
      <w:rPr>
        <w:rFonts w:ascii="Arial" w:hAnsi="Arial" w:cs="Arial"/>
        <w:b/>
        <w:sz w:val="16"/>
        <w:szCs w:val="16"/>
      </w:rPr>
      <w:t xml:space="preserve"> SIWZ</w:t>
    </w:r>
    <w:r w:rsidRPr="006675C6">
      <w:rPr>
        <w:rFonts w:ascii="Arial" w:hAnsi="Arial" w:cs="Arial"/>
        <w:sz w:val="16"/>
        <w:szCs w:val="16"/>
      </w:rPr>
      <w:t xml:space="preserve"> – </w:t>
    </w:r>
    <w:r w:rsidRPr="00975552">
      <w:rPr>
        <w:rFonts w:ascii="Arial" w:hAnsi="Arial" w:cs="Arial"/>
        <w:b/>
        <w:bCs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Sprzedaż</w:t>
    </w:r>
    <w:r w:rsidRPr="00975552">
      <w:rPr>
        <w:rFonts w:ascii="Arial" w:hAnsi="Arial" w:cs="Arial"/>
        <w:b/>
        <w:sz w:val="16"/>
        <w:szCs w:val="16"/>
      </w:rPr>
      <w:t xml:space="preserve"> energii elektrycznej dla Gminy Miasto Kołobrzeg i jednostek organizacyjnych Gminy Miasto Kołobrzeg”</w:t>
    </w:r>
  </w:p>
  <w:p w:rsidR="00C76914" w:rsidRDefault="005C42B7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B7" w:rsidRDefault="005C42B7">
      <w:r>
        <w:separator/>
      </w:r>
    </w:p>
  </w:footnote>
  <w:footnote w:type="continuationSeparator" w:id="0">
    <w:p w:rsidR="005C42B7" w:rsidRDefault="005C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4" w:rsidRPr="00EB0E1F" w:rsidRDefault="00EB0E1F">
    <w:pPr>
      <w:pStyle w:val="Stopka"/>
      <w:rPr>
        <w:sz w:val="12"/>
        <w:szCs w:val="12"/>
      </w:rPr>
    </w:pPr>
    <w:r w:rsidRPr="00EB0E1F">
      <w:rPr>
        <w:sz w:val="12"/>
        <w:szCs w:val="12"/>
      </w:rPr>
      <w:t>K-IO.272.1.2017.V</w:t>
    </w:r>
  </w:p>
  <w:p w:rsidR="00C76914" w:rsidRDefault="005C42B7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3E61CC1"/>
    <w:multiLevelType w:val="hybridMultilevel"/>
    <w:tmpl w:val="4A701B8E"/>
    <w:lvl w:ilvl="0" w:tplc="43D47C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D4A4AC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8"/>
    <w:rsid w:val="000B2E6F"/>
    <w:rsid w:val="00100A4F"/>
    <w:rsid w:val="00110DE9"/>
    <w:rsid w:val="00116384"/>
    <w:rsid w:val="00176EAA"/>
    <w:rsid w:val="00254BA0"/>
    <w:rsid w:val="003A3741"/>
    <w:rsid w:val="003C0842"/>
    <w:rsid w:val="003C285B"/>
    <w:rsid w:val="004744BD"/>
    <w:rsid w:val="004F1D08"/>
    <w:rsid w:val="0058070A"/>
    <w:rsid w:val="005C42B7"/>
    <w:rsid w:val="006153D1"/>
    <w:rsid w:val="006609D1"/>
    <w:rsid w:val="007169A3"/>
    <w:rsid w:val="007834B8"/>
    <w:rsid w:val="007E040D"/>
    <w:rsid w:val="008424C0"/>
    <w:rsid w:val="00867148"/>
    <w:rsid w:val="008E0183"/>
    <w:rsid w:val="00951436"/>
    <w:rsid w:val="0098436D"/>
    <w:rsid w:val="009F38B6"/>
    <w:rsid w:val="00B11DCF"/>
    <w:rsid w:val="00B450A1"/>
    <w:rsid w:val="00B556BC"/>
    <w:rsid w:val="00D059A5"/>
    <w:rsid w:val="00D11022"/>
    <w:rsid w:val="00DC7189"/>
    <w:rsid w:val="00E006FD"/>
    <w:rsid w:val="00E072D4"/>
    <w:rsid w:val="00EB0E1F"/>
    <w:rsid w:val="00FE0599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34B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4B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83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34B8"/>
  </w:style>
  <w:style w:type="paragraph" w:customStyle="1" w:styleId="Tekstpodstawowy21">
    <w:name w:val="Tekst podstawowy 21"/>
    <w:basedOn w:val="Normalny"/>
    <w:rsid w:val="007834B8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24C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8424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style19"/>
    <w:basedOn w:val="Domylnaczcionkaakapitu"/>
    <w:rsid w:val="008424C0"/>
  </w:style>
  <w:style w:type="paragraph" w:customStyle="1" w:styleId="Normal0">
    <w:name w:val="Normal_0"/>
    <w:rsid w:val="003C084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34B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4B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83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3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34B8"/>
  </w:style>
  <w:style w:type="paragraph" w:customStyle="1" w:styleId="Tekstpodstawowy21">
    <w:name w:val="Tekst podstawowy 21"/>
    <w:basedOn w:val="Normalny"/>
    <w:rsid w:val="007834B8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424C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8424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style19"/>
    <w:basedOn w:val="Domylnaczcionkaakapitu"/>
    <w:rsid w:val="008424C0"/>
  </w:style>
  <w:style w:type="paragraph" w:customStyle="1" w:styleId="Normal0">
    <w:name w:val="Normal_0"/>
    <w:rsid w:val="003C084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8D0-4D40-4934-8B69-377E13B7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2017-01-19T08:49:00Z</cp:lastPrinted>
  <dcterms:created xsi:type="dcterms:W3CDTF">2017-02-01T10:44:00Z</dcterms:created>
  <dcterms:modified xsi:type="dcterms:W3CDTF">2017-02-01T10:44:00Z</dcterms:modified>
</cp:coreProperties>
</file>