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4987" w14:textId="690A00CD" w:rsidR="00504700" w:rsidRPr="00172056" w:rsidRDefault="004E17EB" w:rsidP="001979C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BZ.271.73.2019.I</w:t>
      </w:r>
      <w:r w:rsidR="00504700" w:rsidRPr="00172056">
        <w:rPr>
          <w:rFonts w:ascii="Arial" w:hAnsi="Arial" w:cs="Arial"/>
          <w:b/>
          <w:sz w:val="26"/>
          <w:szCs w:val="26"/>
        </w:rPr>
        <w:t>CZĘŚĆ III</w:t>
      </w:r>
    </w:p>
    <w:p w14:paraId="37AD82BB" w14:textId="77777777" w:rsidR="00504700" w:rsidRPr="00172056" w:rsidRDefault="00504700" w:rsidP="0080718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OPIS PRZEDMIOTU ZAMÓWIENIA</w:t>
      </w:r>
    </w:p>
    <w:p w14:paraId="645C9FD9" w14:textId="283CFCA5" w:rsidR="00514913" w:rsidRPr="00B87258" w:rsidRDefault="00514913" w:rsidP="007F4B1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4913">
        <w:rPr>
          <w:rFonts w:ascii="Arial" w:hAnsi="Arial" w:cs="Arial"/>
          <w:b/>
          <w:bCs/>
          <w:sz w:val="28"/>
          <w:szCs w:val="28"/>
          <w:u w:val="single"/>
        </w:rPr>
        <w:t xml:space="preserve">Konserwacja i utrzymanie oznakowania pionowego oraz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poziomego na ulicach gminnych </w:t>
      </w:r>
      <w:r w:rsidRPr="00514913">
        <w:rPr>
          <w:rFonts w:ascii="Arial" w:hAnsi="Arial" w:cs="Arial"/>
          <w:b/>
          <w:bCs/>
          <w:sz w:val="28"/>
          <w:szCs w:val="28"/>
          <w:u w:val="single"/>
        </w:rPr>
        <w:t xml:space="preserve"> i drogach wewnętrznych w granicach administracyjnych miasta Kołobrzeg”</w:t>
      </w:r>
    </w:p>
    <w:p w14:paraId="7EF2FE5B" w14:textId="77777777" w:rsidR="008B7785" w:rsidRDefault="008B7785" w:rsidP="007F4B1F">
      <w:pPr>
        <w:pStyle w:val="Normal0"/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Kod CPV :</w:t>
      </w:r>
    </w:p>
    <w:p w14:paraId="7B362F58" w14:textId="0BC1F673" w:rsidR="00514913" w:rsidRPr="00E71922" w:rsidRDefault="008B7785" w:rsidP="00514913">
      <w:pPr>
        <w:pStyle w:val="Normal0"/>
        <w:spacing w:line="360" w:lineRule="auto"/>
        <w:rPr>
          <w:color w:val="auto"/>
          <w:shd w:val="clear" w:color="auto" w:fill="FFFFFF"/>
        </w:rPr>
      </w:pPr>
      <w:r w:rsidRPr="003E43D6">
        <w:rPr>
          <w:b/>
          <w:color w:val="auto"/>
          <w:shd w:val="clear" w:color="auto" w:fill="FFFFFF"/>
        </w:rPr>
        <w:t xml:space="preserve">   </w:t>
      </w:r>
      <w:r w:rsidR="00514913" w:rsidRPr="00514913">
        <w:rPr>
          <w:rFonts w:cs="Arial"/>
          <w:szCs w:val="22"/>
        </w:rPr>
        <w:t xml:space="preserve"> 34922100-7 oznakowanie drogowe</w:t>
      </w:r>
    </w:p>
    <w:p w14:paraId="18E46322" w14:textId="73EE8339" w:rsidR="003C703A" w:rsidRDefault="00726451" w:rsidP="003C703A">
      <w:pPr>
        <w:pStyle w:val="Normal0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Zakres robót</w:t>
      </w:r>
      <w:r w:rsidR="003C703A" w:rsidRPr="009045FE">
        <w:rPr>
          <w:b/>
          <w:color w:val="auto"/>
          <w:shd w:val="clear" w:color="auto" w:fill="FFFFFF"/>
        </w:rPr>
        <w:t>:</w:t>
      </w:r>
    </w:p>
    <w:p w14:paraId="2AFEC46D" w14:textId="35411898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i/>
          <w:shd w:val="clear" w:color="auto" w:fill="FFFFFF"/>
        </w:rPr>
        <w:t xml:space="preserve"> </w:t>
      </w:r>
      <w:r w:rsidRPr="00F27F66">
        <w:rPr>
          <w:shd w:val="clear" w:color="auto" w:fill="FFFFFF"/>
        </w:rPr>
        <w:t>wymiana tablic znaków drogowych lub tablicz</w:t>
      </w:r>
      <w:r w:rsidR="00017217">
        <w:rPr>
          <w:shd w:val="clear" w:color="auto" w:fill="FFFFFF"/>
        </w:rPr>
        <w:t>ek uzupełniających na nowe,</w:t>
      </w:r>
      <w:r w:rsidRPr="00F27F66">
        <w:rPr>
          <w:shd w:val="clear" w:color="auto" w:fill="FFFFFF"/>
        </w:rPr>
        <w:t xml:space="preserve"> tablic z nazwami   ulic  i informacyjnych - 148 szt.</w:t>
      </w:r>
    </w:p>
    <w:p w14:paraId="33149C8B" w14:textId="6472D85F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wymiana słupków o długości 3,50 m lub 4,50 m i średnicy 60 mm do znaków drogowych na nowe oraz słupa ozdobnego l=5 m  - 76 szt.</w:t>
      </w:r>
    </w:p>
    <w:p w14:paraId="25819532" w14:textId="430973D1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barier łańcuchowych pojedynczych i podwójnych - 140 mb</w:t>
      </w:r>
    </w:p>
    <w:p w14:paraId="2F74B1A8" w14:textId="01163E8E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ograniczników skrajni z elementami odblaskowymi - 20 szt.</w:t>
      </w:r>
    </w:p>
    <w:p w14:paraId="6F1A696F" w14:textId="63E88F45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ustawienie bariery rurowej - 45 szt.</w:t>
      </w:r>
    </w:p>
    <w:p w14:paraId="510C84E8" w14:textId="4FEA18F8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ustawienie słupka blokującego żeliwnego lub betonowego o fakturze z kamienia płukanego  - 30 szt.</w:t>
      </w:r>
    </w:p>
    <w:p w14:paraId="3FEE3B1B" w14:textId="033F7D1D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ustawienie bariery parkingowej ruchomej zamykanej na klucz - 5 szt.</w:t>
      </w:r>
    </w:p>
    <w:p w14:paraId="75C83017" w14:textId="334D0012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ustawienie słupka przeszkodowego U-5b i blokującego U-12c oraz słupek składany </w:t>
      </w:r>
      <w:r w:rsidR="007E1FC8">
        <w:rPr>
          <w:shd w:val="clear" w:color="auto" w:fill="FFFFFF"/>
        </w:rPr>
        <w:t xml:space="preserve">        </w:t>
      </w:r>
      <w:r w:rsidRPr="00F27F66">
        <w:rPr>
          <w:shd w:val="clear" w:color="auto" w:fill="FFFFFF"/>
        </w:rPr>
        <w:t xml:space="preserve"> - 40 szt.</w:t>
      </w:r>
    </w:p>
    <w:p w14:paraId="3F50FEFF" w14:textId="461DFBF8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uzupełnienie łańcucha przy barierach łańcuchowych - 100 mb</w:t>
      </w:r>
    </w:p>
    <w:p w14:paraId="1BAC1800" w14:textId="3FA79C84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oznakowanie awaryjne, w-g potrzeb całodobowo - 3 kpl</w:t>
      </w:r>
    </w:p>
    <w:p w14:paraId="255ECEAA" w14:textId="2AB7EB8D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azylu dla pieszych wraz z oznakowaniem - 4 kpl</w:t>
      </w:r>
    </w:p>
    <w:p w14:paraId="412B245A" w14:textId="4D8ABB86" w:rsidR="00B95266" w:rsidRPr="00F27F66" w:rsidRDefault="00B95266" w:rsidP="00903192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progów zwalniających wyspowych i listwowych U-16d wraz z oznakowaniem - 3 kpl.</w:t>
      </w:r>
    </w:p>
    <w:p w14:paraId="2F1E6D4F" w14:textId="1D99745A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montaż lustra drogowego - 5 szt.</w:t>
      </w:r>
    </w:p>
    <w:p w14:paraId="3D5436A8" w14:textId="2A39A96A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naprawy (prostowanie, spawanie, uzupełnienie malowania):</w:t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</w:p>
    <w:p w14:paraId="62C1A565" w14:textId="1BBBD859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słupków do znaków drogowych - 50 szt.</w:t>
      </w:r>
    </w:p>
    <w:p w14:paraId="39F2EFC7" w14:textId="77777777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barier rurowych - 20 szt.</w:t>
      </w:r>
    </w:p>
    <w:p w14:paraId="37E58833" w14:textId="77777777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słupków retro i betonowych - 20 szt.</w:t>
      </w:r>
    </w:p>
    <w:p w14:paraId="7BA6DD5F" w14:textId="77777777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tablic znaków drogowych - 100 szt.</w:t>
      </w:r>
    </w:p>
    <w:p w14:paraId="4B878557" w14:textId="24D23B35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mycie tablic znaków drogowych - 400 szt.</w:t>
      </w:r>
    </w:p>
    <w:p w14:paraId="29132FF3" w14:textId="0B9F4B82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malowanie elementów oznakowania pionowego,</w:t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</w:p>
    <w:p w14:paraId="602352D8" w14:textId="69711557" w:rsidR="00B95266" w:rsidRPr="00F27F66" w:rsidRDefault="00B95266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słupki do znaków drogowych - 100 szt.</w:t>
      </w:r>
    </w:p>
    <w:p w14:paraId="462E12F1" w14:textId="77777777" w:rsidR="00B95266" w:rsidRPr="00F27F66" w:rsidRDefault="00B95266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bariery rurowe stałe i ruchome - 50 szt.</w:t>
      </w:r>
    </w:p>
    <w:p w14:paraId="709985A8" w14:textId="7DE05412" w:rsidR="00B95266" w:rsidRPr="00F27F66" w:rsidRDefault="007E1FC8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słupki żeliwne </w:t>
      </w:r>
      <w:r w:rsidR="00B95266" w:rsidRPr="00F27F66">
        <w:rPr>
          <w:shd w:val="clear" w:color="auto" w:fill="FFFFFF"/>
        </w:rPr>
        <w:t>- 50 szt.</w:t>
      </w:r>
    </w:p>
    <w:p w14:paraId="4CA983A1" w14:textId="459BE8B0" w:rsidR="00B95266" w:rsidRPr="00F27F66" w:rsidRDefault="00B95266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bariery łańcuchowe pojedyncze - 100 mb</w:t>
      </w:r>
    </w:p>
    <w:p w14:paraId="1E2B8C3C" w14:textId="32445801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przegląd oznakowania pionowego w ciągu 1 miesiąca - 12 m-cy</w:t>
      </w:r>
    </w:p>
    <w:p w14:paraId="07AF9DFC" w14:textId="30D756E2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</w:t>
      </w:r>
      <w:r w:rsidR="003B559E" w:rsidRPr="00F27F66">
        <w:rPr>
          <w:shd w:val="clear" w:color="auto" w:fill="FFFFFF"/>
        </w:rPr>
        <w:t>dnowienie oznakowania poziomego</w:t>
      </w:r>
    </w:p>
    <w:p w14:paraId="774C8B42" w14:textId="2AE29181" w:rsidR="00B95266" w:rsidRPr="00F27F66" w:rsidRDefault="00B95266" w:rsidP="00F3202D">
      <w:pPr>
        <w:pStyle w:val="Normal0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cienkowarstwowe</w:t>
      </w:r>
    </w:p>
    <w:p w14:paraId="4E876474" w14:textId="134E462E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linie segregacyjne i   krawędziowe ciągłe i przerywane - 1000 m2</w:t>
      </w:r>
    </w:p>
    <w:p w14:paraId="3B258B2F" w14:textId="5FCCC840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linie na skrzyżowaniach i przejściach dla pieszych, kolor biały i </w:t>
      </w:r>
      <w:r w:rsidR="007E1FC8">
        <w:rPr>
          <w:shd w:val="clear" w:color="auto" w:fill="FFFFFF"/>
        </w:rPr>
        <w:t xml:space="preserve">czerwony                –   8500 </w:t>
      </w:r>
      <w:r w:rsidRPr="00F27F66">
        <w:rPr>
          <w:shd w:val="clear" w:color="auto" w:fill="FFFFFF"/>
        </w:rPr>
        <w:t>m2</w:t>
      </w:r>
    </w:p>
    <w:p w14:paraId="2A596A22" w14:textId="0C87FB21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strzałki i inne symbole na jezdni - 200 m2</w:t>
      </w:r>
    </w:p>
    <w:p w14:paraId="43496EF2" w14:textId="51953FD5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ścieżek rowerowych i śluz rowerowych na ulicach, kolor czerwony      – 1000 m2</w:t>
      </w:r>
    </w:p>
    <w:p w14:paraId="73321686" w14:textId="6A21E936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miejsc parkingowych na pojazdy osób niepełnosprawnych, kolor   niebieski z symbolem T-29 (powierzchnia</w:t>
      </w:r>
      <w:r w:rsidR="007E1FC8">
        <w:rPr>
          <w:shd w:val="clear" w:color="auto" w:fill="FFFFFF"/>
        </w:rPr>
        <w:t xml:space="preserve"> (3,60 x 5,00 =3,00= 18,00 m2)                </w:t>
      </w:r>
      <w:r w:rsidRPr="00F27F66">
        <w:rPr>
          <w:shd w:val="clear" w:color="auto" w:fill="FFFFFF"/>
        </w:rPr>
        <w:t>- 150 szt.</w:t>
      </w:r>
    </w:p>
    <w:p w14:paraId="63970000" w14:textId="1B0F3573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usuwanie oznakowania poziomego cienkowarstwowego – frezowanie</w:t>
      </w:r>
      <w:r w:rsidR="007E1FC8">
        <w:rPr>
          <w:shd w:val="clear" w:color="auto" w:fill="FFFFFF"/>
        </w:rPr>
        <w:t xml:space="preserve"> </w:t>
      </w:r>
      <w:r w:rsidRPr="00F27F66">
        <w:rPr>
          <w:shd w:val="clear" w:color="auto" w:fill="FFFFFF"/>
        </w:rPr>
        <w:t xml:space="preserve"> - 100 m2</w:t>
      </w:r>
    </w:p>
    <w:p w14:paraId="32E7DA71" w14:textId="5E08AD6A" w:rsidR="00B95266" w:rsidRPr="00F27F66" w:rsidRDefault="00B95266" w:rsidP="00F3202D">
      <w:pPr>
        <w:pStyle w:val="Normal0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grubowarstwowe</w:t>
      </w:r>
    </w:p>
    <w:p w14:paraId="03B3DDBF" w14:textId="6108B60D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linie segregacyjne i krawędziowe ciągłe i przerywane - 200 m2</w:t>
      </w:r>
    </w:p>
    <w:p w14:paraId="264EA0CF" w14:textId="28C27647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linie na skrzyżowaniach i przejściach dla pieszych - 150 m2</w:t>
      </w:r>
    </w:p>
    <w:p w14:paraId="317BF66C" w14:textId="1C07D1DE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strzałki i inne symbole na jezdni - 20 m2</w:t>
      </w:r>
    </w:p>
    <w:p w14:paraId="7BA9632C" w14:textId="23894D86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znaki poziome ostrzegawcze kolorowe grubowarstwowe o wymiarach                  1,00 x 1,00 x 1,00 metr z montażem - 20 szt.</w:t>
      </w:r>
    </w:p>
    <w:p w14:paraId="2C4E9C4D" w14:textId="3A621E00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usuwanie oznakowania poziomego grubowarstwowego – frezowanie - 30 m2</w:t>
      </w:r>
    </w:p>
    <w:p w14:paraId="5ECEFFA0" w14:textId="2184D542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Montaż znaków aktywnych D-6, na przejściach dla pieszych - 2 kpl.</w:t>
      </w:r>
    </w:p>
    <w:p w14:paraId="46318C2B" w14:textId="6542F1A7" w:rsidR="00B952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Wymiana akumulatora znaku drogowego wraz ze sterownikami – 4 szt.</w:t>
      </w:r>
    </w:p>
    <w:p w14:paraId="543D7AC5" w14:textId="46FF2534" w:rsidR="00A71F29" w:rsidRDefault="00A71F29" w:rsidP="00A71F29">
      <w:pPr>
        <w:pStyle w:val="Normal0"/>
        <w:spacing w:line="360" w:lineRule="auto"/>
        <w:jc w:val="both"/>
        <w:rPr>
          <w:shd w:val="clear" w:color="auto" w:fill="FFFFFF"/>
        </w:rPr>
      </w:pPr>
    </w:p>
    <w:p w14:paraId="4543276A" w14:textId="1C2B9392" w:rsidR="00A71F29" w:rsidRDefault="00A71F29" w:rsidP="00A71F29">
      <w:pPr>
        <w:pStyle w:val="Normal0"/>
        <w:spacing w:line="360" w:lineRule="auto"/>
        <w:jc w:val="both"/>
        <w:rPr>
          <w:b/>
          <w:shd w:val="clear" w:color="auto" w:fill="FFFFFF"/>
        </w:rPr>
      </w:pPr>
      <w:r w:rsidRPr="00726451">
        <w:rPr>
          <w:b/>
          <w:shd w:val="clear" w:color="auto" w:fill="FFFFFF"/>
        </w:rPr>
        <w:t>S</w:t>
      </w:r>
      <w:r w:rsidR="00017217">
        <w:rPr>
          <w:b/>
          <w:shd w:val="clear" w:color="auto" w:fill="FFFFFF"/>
        </w:rPr>
        <w:t>zczegółowy zakres</w:t>
      </w:r>
      <w:r w:rsidRPr="00726451">
        <w:rPr>
          <w:b/>
          <w:shd w:val="clear" w:color="auto" w:fill="FFFFFF"/>
        </w:rPr>
        <w:t xml:space="preserve"> wykonania robót</w:t>
      </w:r>
      <w:r w:rsidR="00017217">
        <w:rPr>
          <w:b/>
          <w:shd w:val="clear" w:color="auto" w:fill="FFFFFF"/>
        </w:rPr>
        <w:t xml:space="preserve"> </w:t>
      </w:r>
      <w:r w:rsidR="00017217" w:rsidRPr="00017217">
        <w:rPr>
          <w:b/>
          <w:i/>
          <w:shd w:val="clear" w:color="auto" w:fill="FFFFFF"/>
        </w:rPr>
        <w:t>(do ujęcia w kalkulacji)</w:t>
      </w:r>
      <w:r w:rsidRPr="00017217">
        <w:rPr>
          <w:b/>
          <w:i/>
          <w:shd w:val="clear" w:color="auto" w:fill="FFFFFF"/>
        </w:rPr>
        <w:t>:</w:t>
      </w:r>
    </w:p>
    <w:p w14:paraId="06993F01" w14:textId="766BFE67" w:rsidR="00726451" w:rsidRDefault="00726451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 xml:space="preserve">Wymiana tablic znaków drogowych, tabliczek uzupełniających, z nazwami ulic </w:t>
      </w:r>
      <w:r>
        <w:rPr>
          <w:shd w:val="clear" w:color="auto" w:fill="FFFFFF"/>
        </w:rPr>
        <w:t xml:space="preserve">                   </w:t>
      </w:r>
      <w:r w:rsidRPr="00726451">
        <w:rPr>
          <w:shd w:val="clear" w:color="auto" w:fill="FFFFFF"/>
        </w:rPr>
        <w:t xml:space="preserve">i informacyjnych na nowe, </w:t>
      </w:r>
      <w:r w:rsidRPr="00726451">
        <w:rPr>
          <w:u w:val="single"/>
          <w:shd w:val="clear" w:color="auto" w:fill="FFFFFF"/>
        </w:rPr>
        <w:t>w kalkulacji należy ująć</w:t>
      </w:r>
      <w:r w:rsidRPr="00726451">
        <w:rPr>
          <w:shd w:val="clear" w:color="auto" w:fill="FFFFFF"/>
        </w:rPr>
        <w:t>:</w:t>
      </w:r>
    </w:p>
    <w:p w14:paraId="280BB672" w14:textId="0514F797" w:rsidR="00726451" w:rsidRDefault="00726451" w:rsidP="00F3202D">
      <w:pPr>
        <w:pStyle w:val="Normal0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 xml:space="preserve">zdjęcie tablic znaków drogowych, tabliczek uzupełniających, z nazwami ulic </w:t>
      </w:r>
      <w:r>
        <w:rPr>
          <w:shd w:val="clear" w:color="auto" w:fill="FFFFFF"/>
        </w:rPr>
        <w:t xml:space="preserve">                </w:t>
      </w:r>
      <w:r w:rsidRPr="00726451">
        <w:rPr>
          <w:shd w:val="clear" w:color="auto" w:fill="FFFFFF"/>
        </w:rPr>
        <w:t>i informacyjnych</w:t>
      </w:r>
    </w:p>
    <w:p w14:paraId="27F78786" w14:textId="70576FFC" w:rsidR="00726451" w:rsidRDefault="00726451" w:rsidP="00F3202D">
      <w:pPr>
        <w:pStyle w:val="Normal0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przymocowanie tablic znaków drogowych, tabliczek uzupełniających, z nazwami ulic i informacyjnych</w:t>
      </w:r>
    </w:p>
    <w:p w14:paraId="65700178" w14:textId="1E0D759E" w:rsidR="00726451" w:rsidRPr="003878CC" w:rsidRDefault="00726451" w:rsidP="00F3202D">
      <w:pPr>
        <w:pStyle w:val="Normal0"/>
        <w:numPr>
          <w:ilvl w:val="0"/>
          <w:numId w:val="12"/>
        </w:numPr>
        <w:spacing w:line="360" w:lineRule="auto"/>
        <w:jc w:val="both"/>
        <w:rPr>
          <w:i/>
          <w:shd w:val="clear" w:color="auto" w:fill="FFFFFF"/>
        </w:rPr>
      </w:pPr>
      <w:r w:rsidRPr="00726451">
        <w:rPr>
          <w:shd w:val="clear" w:color="auto" w:fill="FFFFFF"/>
        </w:rPr>
        <w:t xml:space="preserve">tablice z nazwami ulic i logiem, dwustronne, z blachy ocynkowanej grubości 1,5 mm i wymiarach 220 mm x 900 mm, oznaczenia z folii samoprzylepnej </w:t>
      </w:r>
      <w:r w:rsidRPr="003878CC">
        <w:rPr>
          <w:i/>
          <w:shd w:val="clear" w:color="auto" w:fill="FFFFFF"/>
        </w:rPr>
        <w:t>(rysunek nr 1),</w:t>
      </w:r>
    </w:p>
    <w:p w14:paraId="0565F6DC" w14:textId="4FE94197" w:rsidR="00726451" w:rsidRDefault="00726451" w:rsidP="00F3202D">
      <w:pPr>
        <w:pStyle w:val="Normal0"/>
        <w:numPr>
          <w:ilvl w:val="0"/>
          <w:numId w:val="12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lastRenderedPageBreak/>
        <w:t xml:space="preserve">tablice informacyjne, dwustronne, z blachy ocynkowanej grubości 1,5 mm </w:t>
      </w:r>
      <w:r w:rsidR="007E1FC8">
        <w:rPr>
          <w:shd w:val="clear" w:color="auto" w:fill="FFFFFF"/>
        </w:rPr>
        <w:t xml:space="preserve"> </w:t>
      </w:r>
      <w:r w:rsidRPr="00726451">
        <w:rPr>
          <w:shd w:val="clear" w:color="auto" w:fill="FFFFFF"/>
        </w:rPr>
        <w:t>i wymiarach 200mm x 850mm, oznaczenia z folii samoprzylepnej (rysunek nr 2),</w:t>
      </w:r>
    </w:p>
    <w:p w14:paraId="6A503E1D" w14:textId="1BCAF9B3" w:rsidR="00726451" w:rsidRPr="00726451" w:rsidRDefault="00726451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 xml:space="preserve">Wymiana słupków o długości 3,50 m lub 4,50 m i średnicy 60 mm do znaków drogowych na nowe, </w:t>
      </w:r>
      <w:r w:rsidRPr="00726451">
        <w:rPr>
          <w:u w:val="single"/>
          <w:shd w:val="clear" w:color="auto" w:fill="FFFFFF"/>
        </w:rPr>
        <w:t>w kalkulacji należy ująć:</w:t>
      </w:r>
    </w:p>
    <w:p w14:paraId="54D9FCDA" w14:textId="5783E121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demontaż słupka do znaku drogowego,</w:t>
      </w:r>
    </w:p>
    <w:p w14:paraId="79608215" w14:textId="29505882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wykopanie dołu,</w:t>
      </w:r>
    </w:p>
    <w:p w14:paraId="0A60432E" w14:textId="10B803E6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ustawienie słupka do pionu,</w:t>
      </w:r>
    </w:p>
    <w:p w14:paraId="7E7A3896" w14:textId="25A37E8F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zabetonowanie słupka w dole betonem B-15 i zasypanie ziemią.</w:t>
      </w:r>
    </w:p>
    <w:p w14:paraId="0C3B0A6C" w14:textId="05A6A13D" w:rsidR="003878CC" w:rsidRP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 xml:space="preserve">Słup ozdobny, </w:t>
      </w:r>
      <w:r w:rsidR="00FC2AEA" w:rsidRPr="00FC2AEA">
        <w:rPr>
          <w:i/>
          <w:shd w:val="clear" w:color="auto" w:fill="FFFFFF"/>
        </w:rPr>
        <w:t>(</w:t>
      </w:r>
      <w:r w:rsidRPr="00FC2AEA">
        <w:rPr>
          <w:i/>
          <w:shd w:val="clear" w:color="auto" w:fill="FFFFFF"/>
        </w:rPr>
        <w:t>rysunek nr 3</w:t>
      </w:r>
      <w:r w:rsidR="00FC2AEA" w:rsidRPr="00FC2AEA">
        <w:rPr>
          <w:i/>
          <w:shd w:val="clear" w:color="auto" w:fill="FFFFFF"/>
        </w:rPr>
        <w:t>)</w:t>
      </w:r>
      <w:r w:rsidRPr="00FC2AEA">
        <w:rPr>
          <w:i/>
          <w:shd w:val="clear" w:color="auto" w:fill="FFFFFF"/>
        </w:rPr>
        <w:t>,</w:t>
      </w:r>
      <w:r w:rsidRPr="003878CC">
        <w:rPr>
          <w:shd w:val="clear" w:color="auto" w:fill="FFFFFF"/>
        </w:rPr>
        <w:t xml:space="preserve"> wraz z systemem nośnym dla tabliczek z nazwami ulic oraz informacyjnych, możliwy montaż 4-ch tablic w każdym z 4-ch kierunków, długość całkowita słupa 5,00 m nad terenem, </w:t>
      </w:r>
      <w:r w:rsidRPr="003878CC">
        <w:rPr>
          <w:u w:val="single"/>
          <w:shd w:val="clear" w:color="auto" w:fill="FFFFFF"/>
        </w:rPr>
        <w:t>w kalkulacji należy ująć:</w:t>
      </w:r>
    </w:p>
    <w:p w14:paraId="717469DB" w14:textId="1FEC698A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demontaż słupka do znaku drogowego,</w:t>
      </w:r>
    </w:p>
    <w:p w14:paraId="4B999751" w14:textId="0D5B7244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wykopanie dołu,</w:t>
      </w:r>
    </w:p>
    <w:p w14:paraId="083B4E55" w14:textId="4F77A38E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ustawienie słupka do pionu,</w:t>
      </w:r>
    </w:p>
    <w:p w14:paraId="3BCA6683" w14:textId="7A270007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zabetonowanie słupka w dole betonem B-15 i zasypanie ziemią.</w:t>
      </w:r>
    </w:p>
    <w:p w14:paraId="45390434" w14:textId="2B5A9F40" w:rsidR="003878CC" w:rsidRP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 xml:space="preserve">Montaż barier łańcuchowych pojedynczych i podwójnych, </w:t>
      </w:r>
      <w:r w:rsidRPr="003878CC">
        <w:rPr>
          <w:u w:val="single"/>
          <w:shd w:val="clear" w:color="auto" w:fill="FFFFFF"/>
        </w:rPr>
        <w:t>w kalkulacji należy ująć:</w:t>
      </w:r>
    </w:p>
    <w:p w14:paraId="4E9C2208" w14:textId="0D312230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wykopanie dołów dla słupków z rozebraniem nawierzchni,</w:t>
      </w:r>
    </w:p>
    <w:p w14:paraId="30F95638" w14:textId="765DD8BF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ustawienie słupków z rur stalowych o średnicy 50 mm</w:t>
      </w:r>
    </w:p>
    <w:p w14:paraId="09510C5A" w14:textId="440CF79E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zabetonowanie słupka w dole betonem B-15,</w:t>
      </w:r>
    </w:p>
    <w:p w14:paraId="40844D7A" w14:textId="3B85331B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ewentualna naprawa uprzednio rozebranej nawierzchni,</w:t>
      </w:r>
    </w:p>
    <w:p w14:paraId="00066A8E" w14:textId="5B8C3D95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zamontowanie elementów poręczy, łańcuch pojedynczy lub podwójny,</w:t>
      </w:r>
    </w:p>
    <w:p w14:paraId="2E236D26" w14:textId="1141FE15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pomalowanie słupków i poręczy farbą (zaleca</w:t>
      </w:r>
      <w:r>
        <w:rPr>
          <w:shd w:val="clear" w:color="auto" w:fill="FFFFFF"/>
        </w:rPr>
        <w:t xml:space="preserve"> się</w:t>
      </w:r>
      <w:r w:rsidRPr="003878CC">
        <w:rPr>
          <w:shd w:val="clear" w:color="auto" w:fill="FFFFFF"/>
        </w:rPr>
        <w:t xml:space="preserve"> pomalowanie elementów przed montażem, warsztatowo).</w:t>
      </w:r>
    </w:p>
    <w:p w14:paraId="2BBD3489" w14:textId="47939DE3" w:rsid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Montaż ograniczników skra</w:t>
      </w:r>
      <w:r>
        <w:rPr>
          <w:shd w:val="clear" w:color="auto" w:fill="FFFFFF"/>
        </w:rPr>
        <w:t xml:space="preserve">jni z elementami odblaskowymi </w:t>
      </w:r>
      <w:r w:rsidRPr="003878CC">
        <w:rPr>
          <w:i/>
          <w:shd w:val="clear" w:color="auto" w:fill="FFFFFF"/>
        </w:rPr>
        <w:t>(rysunek nr 6)</w:t>
      </w:r>
      <w:r w:rsidRPr="003878C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3878CC">
        <w:rPr>
          <w:shd w:val="clear" w:color="auto" w:fill="FFFFFF"/>
        </w:rPr>
        <w:t>w kalkulacji należy ująć:</w:t>
      </w:r>
    </w:p>
    <w:p w14:paraId="2D5E64C3" w14:textId="77777777" w:rsidR="003878CC" w:rsidRP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wytrasowanie miejsc otworów na kołki rozporowe ,</w:t>
      </w:r>
    </w:p>
    <w:p w14:paraId="3A1E2B9D" w14:textId="77777777" w:rsidR="003878CC" w:rsidRP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wywiercenie otworów i umieszczenie w nich kołków rozporowych,</w:t>
      </w:r>
    </w:p>
    <w:p w14:paraId="03761A29" w14:textId="066B4A8C" w:rsid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przykręcenie elementów skrajni śrubami,</w:t>
      </w:r>
    </w:p>
    <w:p w14:paraId="3A233BF7" w14:textId="77777777" w:rsidR="003878CC" w:rsidRPr="008B2E57" w:rsidRDefault="003878CC" w:rsidP="003878CC">
      <w:pPr>
        <w:pStyle w:val="Akapitzlist"/>
        <w:spacing w:line="360" w:lineRule="auto"/>
        <w:ind w:left="1080"/>
        <w:jc w:val="center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8B2E57"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  <w:t>Charakterystyka elementu skrajni:</w:t>
      </w:r>
    </w:p>
    <w:p w14:paraId="74C03676" w14:textId="312FCAD0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wysokość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- 45-55 mm,</w:t>
      </w:r>
    </w:p>
    <w:p w14:paraId="0CF654DE" w14:textId="5A0822D8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szerokość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- 120-150 mm,</w:t>
      </w:r>
    </w:p>
    <w:p w14:paraId="61226FD6" w14:textId="7D40784F" w:rsidR="003878CC" w:rsidRPr="008B2E57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długość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- 1000-1200 mm,</w:t>
      </w:r>
    </w:p>
    <w:p w14:paraId="01293E83" w14:textId="5BE80809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kolor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="008B2E57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           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- żółty lub czerwony,</w:t>
      </w:r>
    </w:p>
    <w:p w14:paraId="5D177EA7" w14:textId="36195179" w:rsid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="008B2E57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 elementy odblaskowe         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- minimum 2 szt. na każdej ze stron.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</w:p>
    <w:p w14:paraId="0457723E" w14:textId="77777777" w:rsidR="007E1FC8" w:rsidRPr="003878CC" w:rsidRDefault="007E1FC8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</w:p>
    <w:p w14:paraId="051CE1B0" w14:textId="18CAE3E4" w:rsidR="003878CC" w:rsidRPr="008B2E57" w:rsidRDefault="008B2E57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lastRenderedPageBreak/>
        <w:t xml:space="preserve">Ustawienie bariery rurowej, </w:t>
      </w:r>
      <w:r w:rsidRPr="008B2E57">
        <w:rPr>
          <w:u w:val="single"/>
          <w:shd w:val="clear" w:color="auto" w:fill="FFFFFF"/>
        </w:rPr>
        <w:t>w kalkulacji należy ująć:</w:t>
      </w:r>
    </w:p>
    <w:p w14:paraId="3A955D9F" w14:textId="7D4A0E0D" w:rsidR="008B2E57" w:rsidRDefault="008B2E57" w:rsidP="00F3202D">
      <w:pPr>
        <w:pStyle w:val="Normal0"/>
        <w:numPr>
          <w:ilvl w:val="0"/>
          <w:numId w:val="17"/>
        </w:numPr>
        <w:spacing w:line="360" w:lineRule="auto"/>
        <w:ind w:left="993" w:hanging="349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wykopanie dołów dla bariery z rozebraniem nawierzchni</w:t>
      </w:r>
    </w:p>
    <w:p w14:paraId="3976911B" w14:textId="20885AD6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firstLine="131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ustawienie bariery z rury stalowych o średnicy 50 mm</w:t>
      </w:r>
    </w:p>
    <w:p w14:paraId="2A118C0D" w14:textId="7F90FEB0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firstLine="131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zabetonowanie bariery w dole betonem B-15,</w:t>
      </w:r>
    </w:p>
    <w:p w14:paraId="2BD1FEC2" w14:textId="694237A9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left="709" w:firstLine="142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ewentualna naprawa uprzednio rozebranej nawierzchni</w:t>
      </w:r>
      <w:r>
        <w:rPr>
          <w:shd w:val="clear" w:color="auto" w:fill="FFFFFF"/>
        </w:rPr>
        <w:t>.</w:t>
      </w:r>
    </w:p>
    <w:p w14:paraId="2C061918" w14:textId="080CF822" w:rsidR="008B2E57" w:rsidRPr="00A05D45" w:rsidRDefault="008B2E57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żeliwnego „Retro” </w:t>
      </w:r>
      <w:r w:rsidR="00FC2AEA" w:rsidRPr="00FC2AEA">
        <w:rPr>
          <w:i/>
          <w:shd w:val="clear" w:color="auto" w:fill="FFFFFF"/>
        </w:rPr>
        <w:t>(</w:t>
      </w:r>
      <w:r w:rsidRPr="00FC2AEA">
        <w:rPr>
          <w:i/>
          <w:shd w:val="clear" w:color="auto" w:fill="FFFFFF"/>
        </w:rPr>
        <w:t>rysunek nr 7</w:t>
      </w:r>
      <w:r w:rsidR="00FC2AEA" w:rsidRPr="00FC2AEA">
        <w:rPr>
          <w:i/>
          <w:shd w:val="clear" w:color="auto" w:fill="FFFFFF"/>
        </w:rPr>
        <w:t>)</w:t>
      </w:r>
      <w:r w:rsidRPr="00A05D45">
        <w:rPr>
          <w:shd w:val="clear" w:color="auto" w:fill="FFFFFF"/>
        </w:rPr>
        <w:t xml:space="preserve"> lub słupka blokującego składanego </w:t>
      </w:r>
      <w:r w:rsidR="00A05D45" w:rsidRPr="00A05D45">
        <w:rPr>
          <w:i/>
          <w:shd w:val="clear" w:color="auto" w:fill="FFFFFF"/>
        </w:rPr>
        <w:t>(</w:t>
      </w:r>
      <w:r w:rsidR="00FC2AEA">
        <w:rPr>
          <w:i/>
          <w:shd w:val="clear" w:color="auto" w:fill="FFFFFF"/>
        </w:rPr>
        <w:t>rysunek nr 13</w:t>
      </w:r>
      <w:r w:rsidR="00A05D45" w:rsidRPr="00A05D45">
        <w:rPr>
          <w:i/>
          <w:shd w:val="clear" w:color="auto" w:fill="FFFFFF"/>
        </w:rPr>
        <w:t>)</w:t>
      </w:r>
      <w:r w:rsidRPr="00A05D45">
        <w:rPr>
          <w:shd w:val="clear" w:color="auto" w:fill="FFFFFF"/>
        </w:rPr>
        <w:t xml:space="preserve">,  </w:t>
      </w:r>
      <w:r w:rsidRPr="00A05D45">
        <w:rPr>
          <w:u w:val="single"/>
          <w:shd w:val="clear" w:color="auto" w:fill="FFFFFF"/>
        </w:rPr>
        <w:t>w kalkulacji należy ująć:</w:t>
      </w:r>
    </w:p>
    <w:p w14:paraId="1E45B5D9" w14:textId="21CD9725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dla uchwytów kotwiących słupków blokujących z rozebraniem nawierzchni lub wytrasowanie miejsc otwor</w:t>
      </w:r>
      <w:r>
        <w:rPr>
          <w:shd w:val="clear" w:color="auto" w:fill="FFFFFF"/>
        </w:rPr>
        <w:t xml:space="preserve">ów na kołki rozporowe </w:t>
      </w:r>
      <w:r w:rsidRPr="00A05D45">
        <w:rPr>
          <w:shd w:val="clear" w:color="auto" w:fill="FFFFFF"/>
        </w:rPr>
        <w:t>oraz wywiercenie otworów i umieszc</w:t>
      </w:r>
      <w:r>
        <w:rPr>
          <w:shd w:val="clear" w:color="auto" w:fill="FFFFFF"/>
        </w:rPr>
        <w:t>zenie w nich kołków rozporowych</w:t>
      </w:r>
      <w:r w:rsidRPr="00A05D45">
        <w:rPr>
          <w:shd w:val="clear" w:color="auto" w:fill="FFFFFF"/>
        </w:rPr>
        <w:t>,</w:t>
      </w:r>
    </w:p>
    <w:p w14:paraId="672C229B" w14:textId="4F33C208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słupków blokujących,</w:t>
      </w:r>
    </w:p>
    <w:p w14:paraId="0FA78207" w14:textId="72293C37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słupka w dole betonem B-15 lub przykręcenie elementów,</w:t>
      </w:r>
    </w:p>
    <w:p w14:paraId="32F809F6" w14:textId="4A2E5508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ewentualna naprawa uprzednio rozebranej nawierzchni,</w:t>
      </w:r>
    </w:p>
    <w:p w14:paraId="6E80E8CC" w14:textId="6F0793A6" w:rsidR="00A05D45" w:rsidRP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betonowego o </w:t>
      </w:r>
      <w:r>
        <w:rPr>
          <w:shd w:val="clear" w:color="auto" w:fill="FFFFFF"/>
        </w:rPr>
        <w:t xml:space="preserve">fakturze z kamienia płukanego,                   </w:t>
      </w:r>
      <w:r w:rsidRPr="00A05D45">
        <w:rPr>
          <w:i/>
          <w:shd w:val="clear" w:color="auto" w:fill="FFFFFF"/>
        </w:rPr>
        <w:t>(rysunek nr 8 i 9)</w:t>
      </w:r>
      <w:r>
        <w:rPr>
          <w:shd w:val="clear" w:color="auto" w:fill="FFFFFF"/>
        </w:rPr>
        <w:t xml:space="preserve">, </w:t>
      </w:r>
      <w:r w:rsidRPr="00A05D45">
        <w:rPr>
          <w:u w:val="single"/>
          <w:shd w:val="clear" w:color="auto" w:fill="FFFFFF"/>
        </w:rPr>
        <w:t>w kalkulacji należy ująć:</w:t>
      </w:r>
    </w:p>
    <w:p w14:paraId="10B83501" w14:textId="748A0C57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na słupki z ewentualnym rozebraniem nawierzchni,</w:t>
      </w:r>
    </w:p>
    <w:p w14:paraId="6F08649B" w14:textId="4776FC46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kotew słupków blokujących w wykopie i zabetonowanie dołów betonem B-15,</w:t>
      </w:r>
    </w:p>
    <w:p w14:paraId="3AB8E06C" w14:textId="68197B5F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ewentualne odtworzenie rozebranej nawierzchni,</w:t>
      </w:r>
    </w:p>
    <w:p w14:paraId="349ED46A" w14:textId="6956E66D" w:rsidR="00A05D45" w:rsidRP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bariery parkingowej ruchomej zamykanej na klucz, </w:t>
      </w:r>
      <w:r w:rsidRPr="00A05D45">
        <w:rPr>
          <w:u w:val="single"/>
          <w:shd w:val="clear" w:color="auto" w:fill="FFFFFF"/>
        </w:rPr>
        <w:t>w kalkulacji należy ująć:</w:t>
      </w:r>
    </w:p>
    <w:p w14:paraId="45D2D184" w14:textId="0CD96FC0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dla bariery z rozebraniem nawierzchni,</w:t>
      </w:r>
    </w:p>
    <w:p w14:paraId="0CA0C317" w14:textId="5C4BBF2C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bariery,</w:t>
      </w:r>
    </w:p>
    <w:p w14:paraId="60F1DC64" w14:textId="6E60B482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w dole betonem B-15 bariery,</w:t>
      </w:r>
    </w:p>
    <w:p w14:paraId="0EF9DE4F" w14:textId="2E182568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ewentualna naprawa uprzednio rozebranej nawierzchni,</w:t>
      </w:r>
    </w:p>
    <w:p w14:paraId="6F5FD321" w14:textId="3353FAED" w:rsid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U-12c (pasy biało czerwone), </w:t>
      </w:r>
      <w:r w:rsidRPr="00B268D9">
        <w:rPr>
          <w:u w:val="single"/>
          <w:shd w:val="clear" w:color="auto" w:fill="FFFFFF"/>
        </w:rPr>
        <w:t>w kalkulacji należy ująć:</w:t>
      </w:r>
    </w:p>
    <w:p w14:paraId="37CE26F2" w14:textId="15105C5D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dołu dla słupka blokującego U-12c z rozebraniem nawierzchni,</w:t>
      </w:r>
    </w:p>
    <w:p w14:paraId="2FB4145B" w14:textId="616CEE1C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słupka blokującego U-12c,</w:t>
      </w:r>
    </w:p>
    <w:p w14:paraId="2AF79AE4" w14:textId="5AFA1D63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słupka blokującego w dole betonem B-15,</w:t>
      </w:r>
    </w:p>
    <w:p w14:paraId="4846417F" w14:textId="4CD7CCD3" w:rsidR="00B268D9" w:rsidRDefault="00B268D9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B268D9">
        <w:rPr>
          <w:shd w:val="clear" w:color="auto" w:fill="FFFFFF"/>
        </w:rPr>
        <w:t>ewentualna naprawa uprzednio rozebranej nawierzchni,</w:t>
      </w:r>
    </w:p>
    <w:p w14:paraId="0DD9A162" w14:textId="4E70897D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 xml:space="preserve">Uzupełnienie łańcucha przy barierach łańcuchowych, </w:t>
      </w:r>
      <w:r w:rsidRPr="009A78EC">
        <w:rPr>
          <w:u w:val="single"/>
          <w:shd w:val="clear" w:color="auto" w:fill="FFFFFF"/>
        </w:rPr>
        <w:t>w kalkulacji należy ująć:</w:t>
      </w:r>
    </w:p>
    <w:p w14:paraId="4E574F75" w14:textId="7B4040F3" w:rsidR="009A78EC" w:rsidRDefault="009A78EC" w:rsidP="00F3202D">
      <w:pPr>
        <w:pStyle w:val="Normal0"/>
        <w:numPr>
          <w:ilvl w:val="0"/>
          <w:numId w:val="22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zdjęcie pozostałości zerwanego łańcucha,</w:t>
      </w:r>
    </w:p>
    <w:p w14:paraId="6B08B292" w14:textId="17E2411B" w:rsidR="009A78EC" w:rsidRDefault="009A78EC" w:rsidP="00F3202D">
      <w:pPr>
        <w:pStyle w:val="Normal0"/>
        <w:numPr>
          <w:ilvl w:val="0"/>
          <w:numId w:val="22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założenie nowego przęsła pomalowanego łańcucha, średnia długość łańcucha 2,83 mb</w:t>
      </w:r>
      <w:r>
        <w:rPr>
          <w:shd w:val="clear" w:color="auto" w:fill="FFFFFF"/>
        </w:rPr>
        <w:t>.</w:t>
      </w:r>
    </w:p>
    <w:p w14:paraId="5DE862E0" w14:textId="61A474D2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lastRenderedPageBreak/>
        <w:t>Oznakowanie awaryjne. Ustawienie – oznakowania w celu zapewnienia bezpieczeństwa użytkownikom w przypadku wystąpienia awarii tj. uszkodzenia nawierzchni stwarzające bezpośrednie zag</w:t>
      </w:r>
      <w:r>
        <w:rPr>
          <w:shd w:val="clear" w:color="auto" w:fill="FFFFFF"/>
        </w:rPr>
        <w:t xml:space="preserve">rożenie dla użytkowników drogi,                      </w:t>
      </w:r>
      <w:r w:rsidRPr="009A78EC">
        <w:rPr>
          <w:u w:val="single"/>
          <w:shd w:val="clear" w:color="auto" w:fill="FFFFFF"/>
        </w:rPr>
        <w:t>w kalkulacji należy ująć:</w:t>
      </w:r>
    </w:p>
    <w:p w14:paraId="7D227A05" w14:textId="381EB945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2-ch słupków do znaków drogowych,</w:t>
      </w:r>
    </w:p>
    <w:p w14:paraId="0DB66862" w14:textId="5CED2D97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 4-ch znaków drogowych</w:t>
      </w:r>
    </w:p>
    <w:p w14:paraId="11FAF0B2" w14:textId="6D56AF0D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 xml:space="preserve">ustawienie tablicy U-3b </w:t>
      </w:r>
      <w:r>
        <w:rPr>
          <w:shd w:val="clear" w:color="auto" w:fill="FFFFFF"/>
        </w:rPr>
        <w:t>-</w:t>
      </w:r>
      <w:r w:rsidRPr="009A78EC">
        <w:rPr>
          <w:shd w:val="clear" w:color="auto" w:fill="FFFFFF"/>
        </w:rPr>
        <w:t>2 szt. oraz U-51</w:t>
      </w:r>
      <w:r>
        <w:rPr>
          <w:shd w:val="clear" w:color="auto" w:fill="FFFFFF"/>
        </w:rPr>
        <w:t xml:space="preserve"> - </w:t>
      </w:r>
      <w:r w:rsidRPr="009A78EC">
        <w:rPr>
          <w:shd w:val="clear" w:color="auto" w:fill="FFFFFF"/>
        </w:rPr>
        <w:t>2 szt.</w:t>
      </w:r>
    </w:p>
    <w:p w14:paraId="3186894C" w14:textId="33CFE909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azylu d</w:t>
      </w:r>
      <w:r w:rsidR="00FC2AEA">
        <w:rPr>
          <w:shd w:val="clear" w:color="auto" w:fill="FFFFFF"/>
        </w:rPr>
        <w:t xml:space="preserve">la pieszych wraz z oznakowaniem </w:t>
      </w:r>
      <w:r w:rsidR="00FC2AEA" w:rsidRPr="00FC2AEA">
        <w:rPr>
          <w:i/>
          <w:shd w:val="clear" w:color="auto" w:fill="FFFFFF"/>
        </w:rPr>
        <w:t>(rysunek nr 10 i nr 11),</w:t>
      </w:r>
      <w:r w:rsidRPr="009A78EC">
        <w:rPr>
          <w:shd w:val="clear" w:color="auto" w:fill="FFFFFF"/>
        </w:rPr>
        <w:t xml:space="preserve"> </w:t>
      </w:r>
      <w:r w:rsidRPr="009A78EC">
        <w:rPr>
          <w:u w:val="single"/>
          <w:shd w:val="clear" w:color="auto" w:fill="FFFFFF"/>
        </w:rPr>
        <w:t>w kalkulacji należy ująć:</w:t>
      </w:r>
    </w:p>
    <w:p w14:paraId="34F59B39" w14:textId="34BA1960" w:rsidR="009A78EC" w:rsidRDefault="009A78EC" w:rsidP="00F3202D">
      <w:pPr>
        <w:pStyle w:val="Normal0"/>
        <w:numPr>
          <w:ilvl w:val="0"/>
          <w:numId w:val="24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słupka przeszkodowego U-5b zespolonego ze znakiem C-9</w:t>
      </w:r>
    </w:p>
    <w:p w14:paraId="16153562" w14:textId="54BBA4FA" w:rsidR="009A78EC" w:rsidRDefault="009A78EC" w:rsidP="00F3202D">
      <w:pPr>
        <w:pStyle w:val="Normal0"/>
        <w:numPr>
          <w:ilvl w:val="0"/>
          <w:numId w:val="24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segmentów  azylu do nawierzchni (za pomocą kołków rozporowych) w tym:</w:t>
      </w:r>
    </w:p>
    <w:p w14:paraId="3DB4E3E9" w14:textId="7FECC04D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narożny - </w:t>
      </w:r>
      <w:r w:rsidRPr="009A78EC">
        <w:rPr>
          <w:shd w:val="clear" w:color="auto" w:fill="FFFFFF"/>
        </w:rPr>
        <w:t>2 szt.</w:t>
      </w:r>
    </w:p>
    <w:p w14:paraId="389A484E" w14:textId="10B2DC92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skrajny - </w:t>
      </w:r>
      <w:r w:rsidRPr="009A78EC">
        <w:rPr>
          <w:shd w:val="clear" w:color="auto" w:fill="FFFFFF"/>
        </w:rPr>
        <w:t>3 szt.</w:t>
      </w:r>
    </w:p>
    <w:p w14:paraId="38C490F6" w14:textId="44548C56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wewnętrzny - </w:t>
      </w:r>
      <w:r w:rsidRPr="009A78EC">
        <w:rPr>
          <w:shd w:val="clear" w:color="auto" w:fill="FFFFFF"/>
        </w:rPr>
        <w:t>1 szt.</w:t>
      </w:r>
      <w:r w:rsidRPr="009A78EC">
        <w:rPr>
          <w:shd w:val="clear" w:color="auto" w:fill="FFFFFF"/>
        </w:rPr>
        <w:tab/>
      </w:r>
    </w:p>
    <w:p w14:paraId="7A988885" w14:textId="27F3FC3A" w:rsidR="009A78EC" w:rsidRDefault="00133154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133154">
        <w:rPr>
          <w:shd w:val="clear" w:color="auto" w:fill="FFFFFF"/>
        </w:rPr>
        <w:t>Montaż znaków aktywnych D-6, na przejściach dla pieszych:</w:t>
      </w:r>
    </w:p>
    <w:p w14:paraId="3BF14054" w14:textId="77777777" w:rsidR="00133154" w:rsidRPr="00133154" w:rsidRDefault="00133154" w:rsidP="00F3202D">
      <w:pPr>
        <w:pStyle w:val="Akapitzlist"/>
        <w:numPr>
          <w:ilvl w:val="0"/>
          <w:numId w:val="2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słupów szt. 2 z podświetlanymi znakami drogowymi D-6 o wymiarach 600 x 600 mm</w:t>
      </w:r>
    </w:p>
    <w:p w14:paraId="35045672" w14:textId="77777777" w:rsidR="00133154" w:rsidRPr="00133154" w:rsidRDefault="00133154" w:rsidP="00F3202D">
      <w:pPr>
        <w:pStyle w:val="Akapitzlist"/>
        <w:numPr>
          <w:ilvl w:val="0"/>
          <w:numId w:val="2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montaż 2 szt. czujników ruchu i sterownikami, </w:t>
      </w:r>
    </w:p>
    <w:p w14:paraId="408CEB22" w14:textId="77777777" w:rsidR="00133154" w:rsidRDefault="00133154" w:rsidP="00F3202D">
      <w:pPr>
        <w:pStyle w:val="Akapitzlist"/>
        <w:numPr>
          <w:ilvl w:val="0"/>
          <w:numId w:val="2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baterii słonecznych /solar / ze stelażem oraz akumulatorem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ze sterownikami ładowania - 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2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szt</w:t>
      </w:r>
    </w:p>
    <w:p w14:paraId="261E9514" w14:textId="22114465" w:rsidR="00133154" w:rsidRDefault="00133154" w:rsidP="00FC2AE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Montaż progów zwalniających listwowych U-16d oraz wyspowych, </w:t>
      </w:r>
      <w:r w:rsidR="00FC2AEA" w:rsidRPr="00FC2AEA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(rysunek nr 12)</w:t>
      </w:r>
      <w:r w:rsidRPr="00FC2AEA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,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wraz z oznakowaniem, średnia długość progu 6,00  mb,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:</w:t>
      </w:r>
    </w:p>
    <w:p w14:paraId="78A38E61" w14:textId="1D214331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ind w:left="993" w:hanging="273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montaż 2-ch słupków do znaków drogowych,</w:t>
      </w:r>
    </w:p>
    <w:p w14:paraId="201B7769" w14:textId="63EAB858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 4-ch znaków drogowych ( 2 szt. A-11a, 2 szt. B30[20]),</w:t>
      </w:r>
    </w:p>
    <w:p w14:paraId="3EAEFDE8" w14:textId="55CA821C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 2 szt. T-1 (20 m).</w:t>
      </w:r>
    </w:p>
    <w:p w14:paraId="54EE5C1D" w14:textId="3DF17AE2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segmentów  progu zwalniającego listwowego do nawierzchni (za pomocą kołków rozporowych) w tym 2 elementy skrajne.</w:t>
      </w:r>
    </w:p>
    <w:p w14:paraId="7403FC4D" w14:textId="6186227C" w:rsidR="00133154" w:rsidRDefault="00133154" w:rsidP="00F3202D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Naprawy (prostowanie, spawanie, uzupełnienie malowania),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ująć: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</w:t>
      </w:r>
    </w:p>
    <w:p w14:paraId="71E5C762" w14:textId="5DC998DC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wyprostowanie do pionu skrzywionego elementu oznakowania,</w:t>
      </w:r>
    </w:p>
    <w:p w14:paraId="19FA2317" w14:textId="0D57B424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ewentualne zespawanie pękniętego lub zerwanego elementu oznakowania pionowego</w:t>
      </w:r>
    </w:p>
    <w:p w14:paraId="78A6852B" w14:textId="3F623A48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elementów w miejsc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ach spawanych i zgiętych:</w:t>
      </w:r>
    </w:p>
    <w:p w14:paraId="3662A0DE" w14:textId="14AB6CF1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słupków do znaków drogowych</w:t>
      </w:r>
    </w:p>
    <w:p w14:paraId="0F7F1B44" w14:textId="6BF7EFE4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barier rurowych</w:t>
      </w:r>
    </w:p>
    <w:p w14:paraId="21BAFF28" w14:textId="3480305E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słupków blokujących</w:t>
      </w:r>
    </w:p>
    <w:p w14:paraId="34CC4FBB" w14:textId="228AAFDF" w:rsidR="00133154" w:rsidRDefault="00133154" w:rsidP="00F320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lastRenderedPageBreak/>
        <w:t xml:space="preserve">Malowanie elementów oznakowania pionowego,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ująć: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</w:t>
      </w:r>
    </w:p>
    <w:p w14:paraId="3D89D4A1" w14:textId="72173FAD" w:rsidR="00133154" w:rsidRDefault="00856322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</w:t>
      </w:r>
      <w:r w:rsid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yczyszczenie </w:t>
      </w:r>
      <w:r w:rsidR="00133154"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elementu przeznaczonego do pomalowania z kurzu </w:t>
      </w:r>
      <w:r w:rsid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                              </w:t>
      </w:r>
      <w:r w:rsidR="00133154"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i zanieczyszczeń,</w:t>
      </w:r>
    </w:p>
    <w:p w14:paraId="4247AF20" w14:textId="6A87D622" w:rsidR="00133154" w:rsidRDefault="00133154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zeskrobanie starej łuszczącej się farby,</w:t>
      </w:r>
    </w:p>
    <w:p w14:paraId="782ED427" w14:textId="0A810604" w:rsidR="00133154" w:rsidRDefault="00133154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elementu farbą do gruntowania,</w:t>
      </w:r>
    </w:p>
    <w:p w14:paraId="74FA63EC" w14:textId="061A5A7C" w:rsidR="00385E28" w:rsidRPr="00FC2AEA" w:rsidRDefault="00133154" w:rsidP="00FC2AE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elementu farbą nawierzchniową.</w:t>
      </w:r>
    </w:p>
    <w:p w14:paraId="59A75E22" w14:textId="22962446" w:rsidR="00133154" w:rsidRDefault="00133154" w:rsidP="00133154">
      <w:pPr>
        <w:pStyle w:val="Akapitzlist"/>
        <w:spacing w:line="360" w:lineRule="auto"/>
        <w:ind w:left="1080"/>
        <w:jc w:val="center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  <w:t>Rodzaj elementów przeznaczonych do odnowienia:</w:t>
      </w:r>
    </w:p>
    <w:p w14:paraId="0509CF92" w14:textId="2DFA80E8" w:rsidR="00133154" w:rsidRPr="00385E28" w:rsidRDefault="00385E28" w:rsidP="00385E28">
      <w:pPr>
        <w:pStyle w:val="Akapitzlist"/>
        <w:spacing w:after="0"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                                </w:t>
      </w:r>
      <w:r w:rsidRPr="00385E28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słupki do znaków drogowych  </w:t>
      </w:r>
    </w:p>
    <w:p w14:paraId="3220D501" w14:textId="238AA7AA" w:rsidR="00385E28" w:rsidRPr="00385E28" w:rsidRDefault="00385E28" w:rsidP="00385E28">
      <w:pPr>
        <w:pStyle w:val="Akapitzlist"/>
        <w:spacing w:after="0"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5E28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                                  bariery rurowe stałe i ruchome</w:t>
      </w:r>
    </w:p>
    <w:p w14:paraId="562015C9" w14:textId="749E934A" w:rsidR="00133154" w:rsidRPr="00385E28" w:rsidRDefault="00385E28" w:rsidP="00385E28">
      <w:pPr>
        <w:pStyle w:val="Normal0"/>
        <w:spacing w:line="360" w:lineRule="auto"/>
        <w:ind w:left="720"/>
        <w:jc w:val="both"/>
        <w:rPr>
          <w:i/>
          <w:shd w:val="clear" w:color="auto" w:fill="FFFFFF"/>
        </w:rPr>
      </w:pPr>
      <w:r w:rsidRPr="00385E28">
        <w:rPr>
          <w:i/>
          <w:shd w:val="clear" w:color="auto" w:fill="FFFFFF"/>
        </w:rPr>
        <w:t xml:space="preserve">                                        słupki żeliwne</w:t>
      </w:r>
    </w:p>
    <w:p w14:paraId="02857D31" w14:textId="588F0A03" w:rsidR="00385E28" w:rsidRDefault="00385E28" w:rsidP="00385E28">
      <w:pPr>
        <w:pStyle w:val="Normal0"/>
        <w:spacing w:line="360" w:lineRule="auto"/>
        <w:ind w:left="720"/>
        <w:jc w:val="both"/>
        <w:rPr>
          <w:i/>
          <w:shd w:val="clear" w:color="auto" w:fill="FFFFFF"/>
        </w:rPr>
      </w:pPr>
      <w:r w:rsidRPr="00385E28">
        <w:rPr>
          <w:i/>
          <w:shd w:val="clear" w:color="auto" w:fill="FFFFFF"/>
        </w:rPr>
        <w:t xml:space="preserve">                                        bariery łańcuchowe pojedynczych</w:t>
      </w:r>
    </w:p>
    <w:p w14:paraId="5255DCE0" w14:textId="70BFD9EC" w:rsidR="00385E28" w:rsidRDefault="00385E28" w:rsidP="00BB7A75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/>
          <w:u w:val="single"/>
          <w:lang w:eastAsia="pl-PL"/>
        </w:rPr>
        <w:t>Uwaga:</w:t>
      </w:r>
      <w:r w:rsidRPr="00385E28">
        <w:rPr>
          <w:rFonts w:ascii="Arial" w:eastAsia="Times New Roman" w:hAnsi="Arial" w:cs="Arial"/>
          <w:lang w:eastAsia="pl-PL"/>
        </w:rPr>
        <w:t xml:space="preserve"> elementy odnowione muszą spełniać wymagania stawiane przez  R</w:t>
      </w:r>
      <w:r w:rsidRPr="00385E28">
        <w:rPr>
          <w:rFonts w:ascii="Arial" w:eastAsia="Times New Roman" w:hAnsi="Arial" w:cs="Arial"/>
          <w:bCs/>
          <w:lang w:eastAsia="pl-PL"/>
        </w:rPr>
        <w:t xml:space="preserve">OZPORZĄDZENIE MINISTRA INFRASTRUKTURY </w:t>
      </w:r>
      <w:r w:rsidRPr="00385E28">
        <w:rPr>
          <w:rFonts w:ascii="Arial" w:eastAsia="Times New Roman" w:hAnsi="Arial" w:cs="Arial"/>
          <w:lang w:eastAsia="pl-PL"/>
        </w:rPr>
        <w:t>z dnia 3 lipca 2003 r.</w:t>
      </w:r>
      <w:r w:rsidRPr="00385E28">
        <w:rPr>
          <w:rFonts w:ascii="Arial" w:eastAsia="Times New Roman" w:hAnsi="Arial" w:cs="Arial"/>
          <w:bCs/>
          <w:lang w:eastAsia="pl-PL"/>
        </w:rPr>
        <w:t>w sprawie szczegółowych warunków technicznych dla znaków i sygnałów drogowych oraz urządzeń bezpieczeństwa ruchu drogowego i warunków ich umieszczania na drogach a materiały użyte do odnowienia elementów oznakowania muszą posiadać a</w:t>
      </w:r>
      <w:r w:rsidRPr="00385E28">
        <w:rPr>
          <w:rFonts w:ascii="Arial" w:eastAsia="Times New Roman" w:hAnsi="Arial" w:cs="Arial"/>
          <w:lang w:eastAsia="pl-PL"/>
        </w:rPr>
        <w:t>probatę techniczną IBDiM</w:t>
      </w:r>
      <w:r w:rsidRPr="00385E28">
        <w:rPr>
          <w:rFonts w:ascii="Arial" w:eastAsia="Times New Roman" w:hAnsi="Arial" w:cs="Arial"/>
          <w:bCs/>
          <w:lang w:eastAsia="pl-PL"/>
        </w:rPr>
        <w:t>.</w:t>
      </w:r>
    </w:p>
    <w:p w14:paraId="0B181D49" w14:textId="58A0DC91" w:rsidR="00385E28" w:rsidRDefault="00385E28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 xml:space="preserve">Bieżący przegląd oznakowania pionowego w ciągu 1 miesiąca, długość dróg gminnych 86 km, </w:t>
      </w:r>
      <w:r w:rsidRPr="00385E28">
        <w:rPr>
          <w:rFonts w:ascii="Arial" w:eastAsia="Times New Roman" w:hAnsi="Arial" w:cs="Arial"/>
          <w:bCs/>
          <w:u w:val="single"/>
          <w:lang w:eastAsia="pl-PL"/>
        </w:rPr>
        <w:t>w kalkulacji 1 miesiąca należy ująć</w:t>
      </w:r>
      <w:r w:rsidRPr="00385E28">
        <w:rPr>
          <w:rFonts w:ascii="Arial" w:eastAsia="Times New Roman" w:hAnsi="Arial" w:cs="Arial"/>
          <w:bCs/>
          <w:lang w:eastAsia="pl-PL"/>
        </w:rPr>
        <w:t xml:space="preserve">: </w:t>
      </w:r>
      <w:r w:rsidRPr="00385E28">
        <w:rPr>
          <w:rFonts w:ascii="Arial" w:eastAsia="Times New Roman" w:hAnsi="Arial" w:cs="Arial"/>
          <w:bCs/>
          <w:lang w:eastAsia="pl-PL"/>
        </w:rPr>
        <w:tab/>
      </w:r>
    </w:p>
    <w:p w14:paraId="2E3A8024" w14:textId="33BC37A4" w:rsidR="00385E28" w:rsidRDefault="00385E28" w:rsidP="00F320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 xml:space="preserve">przegląd stanu technicznego oznakowania pionowego,  </w:t>
      </w:r>
    </w:p>
    <w:p w14:paraId="56AF6738" w14:textId="27FD5227" w:rsidR="00385E28" w:rsidRDefault="00385E28" w:rsidP="00F320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>drobne naprawy wykonywane w trakcie przeglądu, polegające na:</w:t>
      </w:r>
    </w:p>
    <w:p w14:paraId="3C457830" w14:textId="64BA602C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>prostowanie odchylonych od płaszczyzny prostopadłej do osi jezdni tablic znaków drogowych,</w:t>
      </w:r>
    </w:p>
    <w:p w14:paraId="5D085E09" w14:textId="62C40EF8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 xml:space="preserve">prostowanie odchylonych od pionu słupków znaków do znaków drogowych </w:t>
      </w:r>
      <w:r>
        <w:rPr>
          <w:rFonts w:ascii="Arial" w:eastAsia="Times New Roman" w:hAnsi="Arial" w:cs="Arial"/>
          <w:bCs/>
          <w:lang w:eastAsia="pl-PL"/>
        </w:rPr>
        <w:t xml:space="preserve">         </w:t>
      </w:r>
      <w:r w:rsidRPr="00BB7A75">
        <w:rPr>
          <w:rFonts w:ascii="Arial" w:eastAsia="Times New Roman" w:hAnsi="Arial" w:cs="Arial"/>
          <w:bCs/>
          <w:lang w:eastAsia="pl-PL"/>
        </w:rPr>
        <w:t xml:space="preserve">( odchylenie od pionu do 30 º)  </w:t>
      </w:r>
    </w:p>
    <w:p w14:paraId="167F1E0F" w14:textId="356D0B30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 xml:space="preserve">zgłaszanie niezbędnych prac do wykonania w zakresie umowy a nie będących z zakresie przeglądu.  </w:t>
      </w:r>
    </w:p>
    <w:p w14:paraId="335306FB" w14:textId="5C94F045" w:rsidR="00BB7A75" w:rsidRDefault="00BB7A75" w:rsidP="00BB7A7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/>
          <w:bCs/>
          <w:u w:val="single"/>
          <w:lang w:eastAsia="pl-PL"/>
        </w:rPr>
        <w:t>Uwaga:</w:t>
      </w:r>
      <w:r>
        <w:rPr>
          <w:rFonts w:ascii="Arial" w:eastAsia="Times New Roman" w:hAnsi="Arial" w:cs="Arial"/>
          <w:bCs/>
          <w:lang w:eastAsia="pl-PL"/>
        </w:rPr>
        <w:t xml:space="preserve"> z</w:t>
      </w:r>
      <w:r w:rsidRPr="00BB7A75">
        <w:rPr>
          <w:rFonts w:ascii="Arial" w:eastAsia="Times New Roman" w:hAnsi="Arial" w:cs="Arial"/>
          <w:bCs/>
          <w:lang w:eastAsia="pl-PL"/>
        </w:rPr>
        <w:t xml:space="preserve"> bieżących przeglądów oznakowania należy sporządzić comiesięczny raport stanu kontrolowanego oznakowania ze szczególnym uwzględnieniem znaków, których stan techniczny wymaga ich wymiany oraz oznakowania poziomego wymagającego odnowienia.</w:t>
      </w:r>
    </w:p>
    <w:p w14:paraId="58D27596" w14:textId="1F0A9038" w:rsidR="00047D51" w:rsidRDefault="00047D51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Oz</w:t>
      </w:r>
      <w:r>
        <w:rPr>
          <w:rFonts w:ascii="Arial" w:eastAsia="Times New Roman" w:hAnsi="Arial" w:cs="Arial"/>
          <w:bCs/>
          <w:lang w:eastAsia="pl-PL"/>
        </w:rPr>
        <w:t>nakowanie cienkowarstwowe.</w:t>
      </w:r>
    </w:p>
    <w:p w14:paraId="734B7EAB" w14:textId="14752783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 xml:space="preserve">Oznakowanie poziome jezdni farbami do nawierzchni drogowych – linie segregacyjne i   krawędziowe ciągłe i przerywane,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6D797EF0" w14:textId="2E9D47B4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62D48ABF" w14:textId="7FD10DE8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lastRenderedPageBreak/>
        <w:t>wyznaczenie linii i kształtów elementów oznakowania</w:t>
      </w:r>
    </w:p>
    <w:p w14:paraId="120F7266" w14:textId="5ADB9CEC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361FE107" w14:textId="6D783366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3758B330" w14:textId="0097A53F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04540FDC" w14:textId="706EB1B8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61A4D34E" w14:textId="77777777" w:rsidR="00047D51" w:rsidRDefault="00047D51" w:rsidP="00047D51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bCs/>
          <w:lang w:eastAsia="pl-PL"/>
        </w:rPr>
      </w:pPr>
    </w:p>
    <w:p w14:paraId="50227ABB" w14:textId="2DBECD23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 xml:space="preserve">Oznakowanie poziome jezdni farbami do nawierzchni drogowych – linie </w:t>
      </w:r>
      <w:r>
        <w:rPr>
          <w:rFonts w:ascii="Arial" w:eastAsia="Times New Roman" w:hAnsi="Arial" w:cs="Arial"/>
          <w:bCs/>
          <w:lang w:eastAsia="pl-PL"/>
        </w:rPr>
        <w:t xml:space="preserve">                      </w:t>
      </w:r>
      <w:r w:rsidRPr="00047D51">
        <w:rPr>
          <w:rFonts w:ascii="Arial" w:eastAsia="Times New Roman" w:hAnsi="Arial" w:cs="Arial"/>
          <w:bCs/>
          <w:lang w:eastAsia="pl-PL"/>
        </w:rPr>
        <w:t xml:space="preserve">na skrzyżowaniach i przejściach dla pieszych,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</w:t>
      </w:r>
      <w:r>
        <w:rPr>
          <w:rFonts w:ascii="Arial" w:eastAsia="Times New Roman" w:hAnsi="Arial" w:cs="Arial"/>
          <w:bCs/>
          <w:u w:val="single"/>
          <w:lang w:eastAsia="pl-PL"/>
        </w:rPr>
        <w:t>a powinna uwzględniać:</w:t>
      </w:r>
    </w:p>
    <w:p w14:paraId="0BD074DC" w14:textId="6A017245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5489A9BE" w14:textId="6D6F7B6C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68DEE1A8" w14:textId="0F4993C5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14B6A511" w14:textId="62B490D4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44250495" w14:textId="37EAA2CF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3F74B465" w14:textId="58A7DF98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</w:p>
    <w:p w14:paraId="3B39AD46" w14:textId="3D73297D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 xml:space="preserve">Oznakowanie poziome jezdni farbami do nawierzchni drogowych – strzałki i inne symbole na jezdni,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060B6D11" w14:textId="63175CA2" w:rsidR="00047D51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1249916A" w14:textId="21E8DBD9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7D46E37A" w14:textId="5A9B5EEF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1595E413" w14:textId="751207E8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4FC63F86" w14:textId="75F4DCA0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4DC0EA13" w14:textId="423D53D1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45C55DDB" w14:textId="47A9B7B3" w:rsidR="00C02B06" w:rsidRDefault="00C02B06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Oznakowanie grubowarstwowe.</w:t>
      </w:r>
    </w:p>
    <w:p w14:paraId="54F93640" w14:textId="15C84854" w:rsid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 xml:space="preserve">Oznakowanie poziome jezdni masami chemoutwardzalnymi do nawierzchni drogowych – linie segregacyjne i krawędziowe ciągłe i przerywane,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3F8B80AD" w14:textId="7D3527AB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7B3FC63A" w14:textId="1057D8DF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15279059" w14:textId="2DD77330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</w:t>
      </w:r>
    </w:p>
    <w:p w14:paraId="3D6AD38D" w14:textId="4A9D579B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wykonanie elementów oznakowania,</w:t>
      </w:r>
    </w:p>
    <w:p w14:paraId="1136C34E" w14:textId="2FD1C218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uszkodzeniem,</w:t>
      </w:r>
    </w:p>
    <w:p w14:paraId="1D0FDAA7" w14:textId="40BC5415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13F27CBA" w14:textId="7B70A7BC" w:rsid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lastRenderedPageBreak/>
        <w:t xml:space="preserve">Oznakowanie poziome jezdni masami chemoutwardzalnymi do nawierzchni drogowych – linie na skrzyżowaniach i przejściach dla pieszych,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2BDFCCF0" w14:textId="46BE8B50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16F3668A" w14:textId="00DE2572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654F38EA" w14:textId="2BE9431A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drogowych,</w:t>
      </w:r>
    </w:p>
    <w:p w14:paraId="2EBFFD7C" w14:textId="339AFC92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wykonanie elementów oznakowania,</w:t>
      </w:r>
    </w:p>
    <w:p w14:paraId="5BD84F45" w14:textId="4A16DB9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uszkodzeniem,</w:t>
      </w:r>
    </w:p>
    <w:p w14:paraId="69F2FB4E" w14:textId="072FD45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50F1C55A" w14:textId="152DE807" w:rsidR="00C02B06" w:rsidRP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 xml:space="preserve">Oznakowanie poziome jezdni masami chemoutwardzalnymi do nawierzchni drogowych – strzałki i inne symbole na jezdni,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1D2B01E1" w14:textId="7BC53D00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58C2199E" w14:textId="2C240BE8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7DE98BE2" w14:textId="6C1145D1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drogowych,</w:t>
      </w:r>
    </w:p>
    <w:p w14:paraId="6DB048E7" w14:textId="33280698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wykonanie elementów oznakowania,</w:t>
      </w:r>
    </w:p>
    <w:p w14:paraId="2191D534" w14:textId="778CD355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</w:t>
      </w:r>
    </w:p>
    <w:p w14:paraId="702D5CEA" w14:textId="3EE71676" w:rsidR="001A7C62" w:rsidRPr="00017217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</w:p>
    <w:p w14:paraId="7F51A89A" w14:textId="77777777" w:rsidR="00FD0A56" w:rsidRPr="00172056" w:rsidRDefault="00FD0A56" w:rsidP="00F3202D">
      <w:pPr>
        <w:pStyle w:val="Tekstpodstawowy"/>
        <w:numPr>
          <w:ilvl w:val="0"/>
          <w:numId w:val="2"/>
        </w:numPr>
        <w:spacing w:before="240"/>
        <w:ind w:left="714" w:hanging="357"/>
        <w:jc w:val="both"/>
        <w:rPr>
          <w:rFonts w:ascii="Arial" w:hAnsi="Arial" w:cs="Arial"/>
          <w:b/>
        </w:rPr>
      </w:pPr>
      <w:r w:rsidRPr="00CF25CA">
        <w:rPr>
          <w:rFonts w:ascii="Arial" w:hAnsi="Arial" w:cs="Arial"/>
          <w:b/>
          <w:sz w:val="22"/>
          <w:szCs w:val="22"/>
        </w:rPr>
        <w:t>Uwagi</w:t>
      </w:r>
      <w:r w:rsidRPr="00172056">
        <w:rPr>
          <w:rFonts w:ascii="Arial" w:hAnsi="Arial" w:cs="Arial"/>
          <w:b/>
        </w:rPr>
        <w:t>:</w:t>
      </w:r>
    </w:p>
    <w:p w14:paraId="31183055" w14:textId="77777777" w:rsidR="00CF242B" w:rsidRPr="00CF242B" w:rsidRDefault="00CF242B" w:rsidP="00F3202D">
      <w:pPr>
        <w:pStyle w:val="Tekstpodstawowy"/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CF242B">
        <w:rPr>
          <w:rFonts w:ascii="Arial" w:eastAsiaTheme="minorHAnsi" w:hAnsi="Arial" w:cs="Arial"/>
          <w:color w:val="auto"/>
          <w:sz w:val="22"/>
          <w:szCs w:val="22"/>
          <w:lang w:val="pl-PL" w:eastAsia="en-US"/>
        </w:rPr>
        <w:t>Prace prowadzone w pasie drogowym należy oznakować zgodnie z Instrukcją oznakowania robót prowadzonych w pasie drogowym (M. P. Załącznik do nr-u 24, poz. 184 z dnia 18 czerwca 1990 r.)</w:t>
      </w:r>
    </w:p>
    <w:p w14:paraId="679E8E54" w14:textId="50A04F8A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</w:t>
      </w:r>
      <w:r>
        <w:rPr>
          <w:rFonts w:ascii="Arial" w:hAnsi="Arial" w:cs="Arial"/>
          <w:sz w:val="22"/>
          <w:szCs w:val="22"/>
        </w:rPr>
        <w:t>nawca gwarantuje wykonanie prac</w:t>
      </w:r>
      <w:r w:rsidRPr="00FF3014">
        <w:rPr>
          <w:rFonts w:ascii="Arial" w:hAnsi="Arial" w:cs="Arial"/>
          <w:sz w:val="22"/>
          <w:szCs w:val="22"/>
        </w:rPr>
        <w:t xml:space="preserve"> precyzyjnie, zgodnie z obowiązującymi warunkami technicznymi z </w:t>
      </w:r>
      <w:r w:rsidRPr="003A3A95">
        <w:rPr>
          <w:rFonts w:ascii="Arial" w:hAnsi="Arial" w:cs="Arial"/>
          <w:color w:val="auto"/>
          <w:sz w:val="22"/>
          <w:szCs w:val="22"/>
        </w:rPr>
        <w:t xml:space="preserve">zachowaniem Polskich Norm, przenoszących </w:t>
      </w:r>
      <w:r w:rsidRPr="00FF3014">
        <w:rPr>
          <w:rFonts w:ascii="Arial" w:hAnsi="Arial" w:cs="Arial"/>
          <w:sz w:val="22"/>
          <w:szCs w:val="22"/>
        </w:rPr>
        <w:t xml:space="preserve">normy europejskie, przepisami BHP oraz zgodnie ze sztuką </w:t>
      </w:r>
      <w:r w:rsidR="00C2756A">
        <w:rPr>
          <w:rFonts w:ascii="Arial" w:hAnsi="Arial" w:cs="Arial"/>
          <w:sz w:val="22"/>
          <w:szCs w:val="22"/>
        </w:rPr>
        <w:t xml:space="preserve">budowlaną. </w:t>
      </w:r>
    </w:p>
    <w:p w14:paraId="48C722AD" w14:textId="77777777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Wykonawca zobowiązany jest przez cały czas trwania prac do utrzymania porządku na terenie objętym pracami oraz w miejscach sąsiadujących z prowadzonymi pracami, k</w:t>
      </w:r>
      <w:r w:rsidR="00201ADC">
        <w:rPr>
          <w:rFonts w:ascii="Arial" w:hAnsi="Arial" w:cs="Arial"/>
          <w:sz w:val="22"/>
          <w:szCs w:val="22"/>
        </w:rPr>
        <w:t>tóre mogą ulec zanieczyszczeniu.</w:t>
      </w:r>
    </w:p>
    <w:p w14:paraId="1A8A31D9" w14:textId="77777777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Wykonawca zapewni wszelkie materiały i środki niezbędne do wykonywania przedmiotu zamówienia.</w:t>
      </w:r>
    </w:p>
    <w:p w14:paraId="68BD1D78" w14:textId="77777777" w:rsidR="007B383C" w:rsidRPr="007B383C" w:rsidRDefault="007B383C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usunięcia na swój koszt wszelkich szkód, które powstały w trakcie wykonywania prac, np. uszkodzenia istniejących nawierzchni, instalacji nadziemnych, trawników itp.</w:t>
      </w:r>
    </w:p>
    <w:p w14:paraId="0A575185" w14:textId="446C11BB" w:rsidR="0035094F" w:rsidRPr="00172056" w:rsidRDefault="0035094F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lastRenderedPageBreak/>
        <w:t xml:space="preserve">Po zakończeniu </w:t>
      </w:r>
      <w:r w:rsidRPr="00B62136">
        <w:rPr>
          <w:rFonts w:ascii="Arial" w:hAnsi="Arial" w:cs="Arial"/>
          <w:color w:val="000000" w:themeColor="text1"/>
        </w:rPr>
        <w:t xml:space="preserve">robót </w:t>
      </w:r>
      <w:r w:rsidRPr="00172056">
        <w:rPr>
          <w:rFonts w:ascii="Arial" w:hAnsi="Arial" w:cs="Arial"/>
        </w:rPr>
        <w:t>Wykonawca zobowiązany jest uporządkować teren budowy</w:t>
      </w:r>
      <w:r w:rsidR="00CF242B">
        <w:rPr>
          <w:rFonts w:ascii="Arial" w:hAnsi="Arial" w:cs="Arial"/>
        </w:rPr>
        <w:t>.</w:t>
      </w:r>
      <w:r w:rsidRPr="00172056">
        <w:rPr>
          <w:rFonts w:ascii="Arial" w:hAnsi="Arial" w:cs="Arial"/>
        </w:rPr>
        <w:t xml:space="preserve"> </w:t>
      </w:r>
    </w:p>
    <w:p w14:paraId="5460DB3C" w14:textId="77777777" w:rsidR="0035094F" w:rsidRPr="001070EF" w:rsidRDefault="0035094F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070EF">
        <w:rPr>
          <w:rFonts w:ascii="Arial" w:hAnsi="Arial" w:cs="Arial"/>
        </w:rPr>
        <w:t xml:space="preserve">Wykonawca musi zaoferować Zamawiającemu </w:t>
      </w:r>
      <w:r w:rsidR="00201ADC">
        <w:rPr>
          <w:rFonts w:ascii="Arial" w:hAnsi="Arial" w:cs="Arial"/>
        </w:rPr>
        <w:t xml:space="preserve"> do </w:t>
      </w:r>
      <w:r w:rsidRPr="001070EF">
        <w:rPr>
          <w:rFonts w:ascii="Arial" w:hAnsi="Arial" w:cs="Arial"/>
        </w:rPr>
        <w:t>30-dni okres płatności faktury licząc od dnia dostarczenia prawidłowo wystawionej faktury do Urzędu Miasta Kołobrzeg.</w:t>
      </w:r>
    </w:p>
    <w:p w14:paraId="22C762D1" w14:textId="77777777" w:rsidR="000A2485" w:rsidRPr="00FF3014" w:rsidRDefault="000A2485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przypadku, gdy opis przedmiotu zamówienia wskazywać będzie na konkretne produkty i/lub materiały z podaniem nazwy producenta oznacza to, że Zamawiający oczekuje zaproponowania rozwiązań o parametrach technicznych równoważnych, </w:t>
      </w:r>
      <w:r w:rsidR="008D70FB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>tj. nie gorszych niż parametry jakimi charakteryzuje się opisany produkt i/lub materiał.</w:t>
      </w:r>
    </w:p>
    <w:p w14:paraId="5626B37B" w14:textId="54973FE2" w:rsidR="004D6E67" w:rsidRDefault="004D6E67" w:rsidP="00F32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D0130E">
        <w:rPr>
          <w:rFonts w:ascii="Arial" w:hAnsi="Arial" w:cs="Arial"/>
          <w:color w:val="000000" w:themeColor="text1"/>
        </w:rPr>
        <w:t xml:space="preserve">Zamawiający </w:t>
      </w:r>
      <w:r w:rsidRPr="00172056">
        <w:rPr>
          <w:rFonts w:ascii="Arial" w:hAnsi="Arial" w:cs="Arial"/>
        </w:rPr>
        <w:t xml:space="preserve">wymaga zatrudnienia przez wykonawcę lub podwykonawcę </w:t>
      </w:r>
      <w:r w:rsidR="00341F29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 xml:space="preserve">na podstawie umowy o pracę osób wykonujących następujące czynności w zakresie realizacji zamówienia: </w:t>
      </w:r>
    </w:p>
    <w:p w14:paraId="497AAFEC" w14:textId="205CC491" w:rsid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wykonanie oznakowania poziomego cienkowarstwowego i grubowarstwowego,</w:t>
      </w:r>
    </w:p>
    <w:p w14:paraId="21EDB70F" w14:textId="5A00FC1A" w:rsid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montaż oznakowania pionowego,</w:t>
      </w:r>
    </w:p>
    <w:p w14:paraId="72D44C08" w14:textId="22A42CD1" w:rsidR="004B204A" w:rsidRP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montaż urządzeń bezpieczeństwa ruchu drogowego.</w:t>
      </w:r>
    </w:p>
    <w:p w14:paraId="463D3649" w14:textId="4E016B51" w:rsidR="00992DAE" w:rsidRDefault="004D6E67" w:rsidP="001000E4">
      <w:pPr>
        <w:spacing w:before="60" w:after="0" w:line="360" w:lineRule="auto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Powyższy warunek zostanie spełniony poprzez zatrudnienie na umowę</w:t>
      </w:r>
      <w:r w:rsidR="001070EF" w:rsidRPr="004B204A">
        <w:rPr>
          <w:rFonts w:ascii="Arial" w:hAnsi="Arial" w:cs="Arial"/>
        </w:rPr>
        <w:t xml:space="preserve"> </w:t>
      </w:r>
      <w:r w:rsidRPr="004B204A">
        <w:rPr>
          <w:rFonts w:ascii="Arial" w:hAnsi="Arial" w:cs="Arial"/>
        </w:rPr>
        <w:t>o pracę nowych pracowników lub wyznaczenie do realizacji zamówienia zatrudnionych już</w:t>
      </w:r>
      <w:r w:rsidR="001070EF" w:rsidRPr="004B204A">
        <w:rPr>
          <w:rFonts w:ascii="Arial" w:hAnsi="Arial" w:cs="Arial"/>
        </w:rPr>
        <w:br/>
      </w:r>
      <w:r w:rsidRPr="004B204A">
        <w:rPr>
          <w:rFonts w:ascii="Arial" w:hAnsi="Arial" w:cs="Arial"/>
        </w:rPr>
        <w:t>u Wykonawcy pracowników.</w:t>
      </w:r>
    </w:p>
    <w:p w14:paraId="1B464AEA" w14:textId="6F96828D" w:rsidR="001000E4" w:rsidRDefault="004B204A" w:rsidP="00F320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 xml:space="preserve">Czynności wymienione w </w:t>
      </w:r>
      <w:r w:rsidR="00075D7D">
        <w:rPr>
          <w:rFonts w:ascii="Arial" w:hAnsi="Arial" w:cs="Arial"/>
        </w:rPr>
        <w:t xml:space="preserve">pkt 9 </w:t>
      </w:r>
      <w:r w:rsidRPr="004B204A">
        <w:rPr>
          <w:rFonts w:ascii="Arial" w:hAnsi="Arial" w:cs="Arial"/>
        </w:rPr>
        <w:t xml:space="preserve">będą świadczone przez osoby wymienione w Załączniku </w:t>
      </w:r>
      <w:r>
        <w:rPr>
          <w:rFonts w:ascii="Arial" w:hAnsi="Arial" w:cs="Arial"/>
        </w:rPr>
        <w:t>nr 6 SIWZ</w:t>
      </w:r>
      <w:r w:rsidRPr="004B204A">
        <w:rPr>
          <w:rFonts w:ascii="Arial" w:hAnsi="Arial" w:cs="Arial"/>
        </w:rPr>
        <w:t xml:space="preserve"> „Wykaz  osób zatrudnionych na  podstawie  umowy o pracę”, które zostały wskazane przez Wykonawcę, zwane dalej „Pracownikami świadczącymi roboty”.</w:t>
      </w:r>
    </w:p>
    <w:p w14:paraId="1D351140" w14:textId="52DD9FBF" w:rsidR="00416B11" w:rsidRPr="001000E4" w:rsidRDefault="00416B11" w:rsidP="00F320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00E4">
        <w:rPr>
          <w:rFonts w:ascii="Arial" w:eastAsia="Times New Roman" w:hAnsi="Arial" w:cs="Arial"/>
          <w:lang w:eastAsia="pl-PL"/>
        </w:rPr>
        <w:t>W trakcie realizacji umowy Zamawiający ma prawo zażądać od Wykonawcy przedstawienia:</w:t>
      </w:r>
    </w:p>
    <w:p w14:paraId="17E37E06" w14:textId="70478773" w:rsidR="00416B11" w:rsidRPr="00931624" w:rsidRDefault="00416B11" w:rsidP="00F3202D">
      <w:pPr>
        <w:numPr>
          <w:ilvl w:val="1"/>
          <w:numId w:val="3"/>
        </w:numPr>
        <w:tabs>
          <w:tab w:val="clear" w:pos="567"/>
          <w:tab w:val="num" w:pos="993"/>
        </w:tabs>
        <w:spacing w:before="60" w:after="0" w:line="36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1624">
        <w:rPr>
          <w:rFonts w:ascii="Arial" w:eastAsia="Times New Roman" w:hAnsi="Arial" w:cs="Arial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</w:p>
    <w:p w14:paraId="0D666162" w14:textId="77777777" w:rsidR="00416B11" w:rsidRPr="00931624" w:rsidRDefault="00416B11" w:rsidP="00F3202D">
      <w:pPr>
        <w:numPr>
          <w:ilvl w:val="1"/>
          <w:numId w:val="3"/>
        </w:numPr>
        <w:tabs>
          <w:tab w:val="clear" w:pos="567"/>
          <w:tab w:val="num" w:pos="993"/>
        </w:tabs>
        <w:spacing w:before="60" w:after="0" w:line="36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1624">
        <w:rPr>
          <w:rFonts w:ascii="Arial" w:eastAsia="Times New Roman" w:hAnsi="Arial" w:cs="Arial"/>
          <w:lang w:eastAsia="pl-PL"/>
        </w:rPr>
        <w:t>Zaświadczenia właściwego oddziału ZUS, potwierdzające opłacanie przez wykonawcę lub podwykonawcę składek na ubezpieczenia społeczne i zdrowotne z tytułu zatrudnienia na podstawie umów o pracę za ostatni okres rozliczeniowy;</w:t>
      </w:r>
    </w:p>
    <w:p w14:paraId="3A9F8D57" w14:textId="44DBC6EF" w:rsidR="007157F6" w:rsidRDefault="00075D7D" w:rsidP="0034065C">
      <w:pPr>
        <w:spacing w:before="60"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="00416B11" w:rsidRPr="00931624">
        <w:rPr>
          <w:rFonts w:ascii="Arial" w:eastAsia="Times New Roman" w:hAnsi="Arial" w:cs="Arial"/>
          <w:lang w:eastAsia="pl-PL"/>
        </w:rPr>
        <w:t>Poświadczoną za zgodność z oryginałem odpowiednio przez wykonawcę lub podwykonawcę kopię dowodu potwierdzającego zgłoszenie pracownika przez pracodawcę do ubezpieczeń</w:t>
      </w:r>
      <w:r w:rsidR="00114A36">
        <w:rPr>
          <w:rFonts w:ascii="Arial" w:eastAsia="Times New Roman" w:hAnsi="Arial" w:cs="Arial"/>
          <w:lang w:eastAsia="pl-PL"/>
        </w:rPr>
        <w:t>.</w:t>
      </w:r>
      <w:r w:rsidR="007157F6">
        <w:rPr>
          <w:rFonts w:ascii="Arial" w:eastAsia="Times New Roman" w:hAnsi="Arial" w:cs="Arial"/>
          <w:lang w:eastAsia="pl-PL"/>
        </w:rPr>
        <w:t xml:space="preserve"> </w:t>
      </w:r>
    </w:p>
    <w:p w14:paraId="1EDCBAD5" w14:textId="77777777" w:rsidR="00075D7D" w:rsidRPr="0034065C" w:rsidRDefault="00075D7D" w:rsidP="0034065C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7B948E7" w14:textId="4C48C5E5" w:rsidR="00114A36" w:rsidRPr="00075D7D" w:rsidRDefault="00114A36" w:rsidP="00114A36">
      <w:pPr>
        <w:pStyle w:val="Tekstpodstawowy"/>
        <w:numPr>
          <w:ilvl w:val="0"/>
          <w:numId w:val="68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4065C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 obowiązującymi przepisami </w:t>
      </w:r>
      <w:r w:rsidRPr="0034065C">
        <w:rPr>
          <w:rFonts w:ascii="Arial" w:hAnsi="Arial" w:cs="Arial"/>
          <w:iCs/>
          <w:color w:val="auto"/>
          <w:sz w:val="22"/>
          <w:szCs w:val="22"/>
        </w:rPr>
        <w:t>Rozporządzenia Parlamentu Europejskiego Rady (UE) 2016/679 z dnia 27 kwietnia 2016r. w sprawie ochrony osób fizycznych w związku z przetwarzaniem danych osobowych i w sprawie swobodnego przepływu takich danych</w:t>
      </w:r>
      <w:r w:rsidRPr="0034065C">
        <w:rPr>
          <w:rFonts w:ascii="Arial" w:hAnsi="Arial" w:cs="Arial"/>
          <w:color w:val="auto"/>
          <w:sz w:val="22"/>
          <w:szCs w:val="22"/>
        </w:rPr>
        <w:t xml:space="preserve"> tj. w szczególności bez adresów, nr PESEL pracowników. Imię i nazwisko nie podlegają anonimizacji. </w:t>
      </w:r>
      <w:r w:rsidRPr="0034065C">
        <w:rPr>
          <w:rFonts w:ascii="Arial" w:hAnsi="Arial" w:cs="Arial"/>
          <w:color w:val="auto"/>
          <w:sz w:val="22"/>
        </w:rPr>
        <w:t>Informacje takie jak: data zawarcia umowy, rodzaj umowy o prac</w:t>
      </w:r>
      <w:r w:rsidRPr="0034065C">
        <w:rPr>
          <w:rFonts w:ascii="Arial" w:eastAsia="MS Gothic" w:hAnsi="Arial" w:cs="Arial"/>
          <w:color w:val="auto"/>
          <w:sz w:val="22"/>
        </w:rPr>
        <w:t>ę</w:t>
      </w:r>
      <w:r w:rsidRPr="0034065C">
        <w:rPr>
          <w:rFonts w:ascii="Arial" w:hAnsi="Arial" w:cs="Arial"/>
          <w:color w:val="auto"/>
          <w:sz w:val="22"/>
        </w:rPr>
        <w:t xml:space="preserve"> i wymiar etatu powinny by</w:t>
      </w:r>
      <w:r w:rsidRPr="0034065C">
        <w:rPr>
          <w:rFonts w:ascii="Arial" w:eastAsia="MS Gothic" w:hAnsi="Arial" w:cs="Arial"/>
          <w:color w:val="auto"/>
          <w:sz w:val="22"/>
        </w:rPr>
        <w:t>ć</w:t>
      </w:r>
      <w:r w:rsidRPr="0034065C">
        <w:rPr>
          <w:rFonts w:ascii="Arial" w:hAnsi="Arial" w:cs="Arial"/>
          <w:color w:val="auto"/>
          <w:sz w:val="22"/>
        </w:rPr>
        <w:t xml:space="preserve"> mo</w:t>
      </w:r>
      <w:r w:rsidRPr="0034065C">
        <w:rPr>
          <w:rFonts w:ascii="Arial" w:eastAsia="MS Gothic" w:hAnsi="Arial" w:cs="Arial"/>
          <w:color w:val="auto"/>
          <w:sz w:val="22"/>
        </w:rPr>
        <w:t>ż</w:t>
      </w:r>
      <w:r w:rsidRPr="0034065C">
        <w:rPr>
          <w:rFonts w:ascii="Arial" w:hAnsi="Arial" w:cs="Arial"/>
          <w:color w:val="auto"/>
          <w:sz w:val="22"/>
        </w:rPr>
        <w:t>liwe do zidentyfikowania</w:t>
      </w:r>
      <w:r w:rsidRPr="00075D7D">
        <w:rPr>
          <w:rFonts w:ascii="Arial" w:hAnsi="Arial" w:cs="Arial"/>
          <w:color w:val="auto"/>
          <w:sz w:val="22"/>
        </w:rPr>
        <w:t>.</w:t>
      </w:r>
    </w:p>
    <w:p w14:paraId="157DF207" w14:textId="77777777" w:rsidR="00615D55" w:rsidRPr="001658DD" w:rsidRDefault="00615D55" w:rsidP="001000E4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173B8E8C" w14:textId="77777777" w:rsidR="008D70FB" w:rsidRPr="00CC1A3B" w:rsidRDefault="008D70FB" w:rsidP="00F3202D">
      <w:pPr>
        <w:pStyle w:val="Tekstpodstawowy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CF25CA">
        <w:rPr>
          <w:rFonts w:ascii="Arial" w:hAnsi="Arial" w:cs="Arial"/>
          <w:b/>
          <w:sz w:val="22"/>
          <w:szCs w:val="22"/>
        </w:rPr>
        <w:t>Wizja</w:t>
      </w:r>
      <w:r w:rsidRPr="00CC1A3B">
        <w:rPr>
          <w:rFonts w:ascii="Arial" w:hAnsi="Arial" w:cs="Arial"/>
          <w:b/>
          <w:szCs w:val="24"/>
        </w:rPr>
        <w:t xml:space="preserve"> lokalna terenu budowy</w:t>
      </w:r>
    </w:p>
    <w:p w14:paraId="62D8586A" w14:textId="77777777" w:rsidR="001B2B6E" w:rsidRDefault="008D70FB" w:rsidP="001000E4">
      <w:pPr>
        <w:spacing w:before="240" w:after="0" w:line="360" w:lineRule="auto"/>
        <w:ind w:left="142" w:firstLine="992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Zaleca się, aby Wykonawca dokonał wizji lokalnej terenu i jego otoczenia, a także zdobył na swoją </w:t>
      </w:r>
      <w:r w:rsidRPr="00172056">
        <w:rPr>
          <w:rFonts w:ascii="Arial" w:hAnsi="Arial" w:cs="Arial"/>
          <w:b/>
        </w:rPr>
        <w:t>odpowiedzialność i ryzyko</w:t>
      </w:r>
      <w:r w:rsidRPr="00172056">
        <w:rPr>
          <w:rFonts w:ascii="Arial" w:hAnsi="Arial" w:cs="Arial"/>
        </w:rPr>
        <w:t xml:space="preserve"> wszelkie dodatkowe informacje, które mogą być konieczne do przygotowania oferty oraz zawarcia umowy</w:t>
      </w:r>
      <w:r w:rsidR="007B5B2B">
        <w:rPr>
          <w:rFonts w:ascii="Arial" w:hAnsi="Arial" w:cs="Arial"/>
        </w:rPr>
        <w:t xml:space="preserve"> </w:t>
      </w:r>
      <w:r w:rsidRPr="00172056">
        <w:rPr>
          <w:rFonts w:ascii="Arial" w:hAnsi="Arial" w:cs="Arial"/>
        </w:rPr>
        <w:t xml:space="preserve">i </w:t>
      </w:r>
      <w:r w:rsidR="00F26443">
        <w:rPr>
          <w:rFonts w:ascii="Arial" w:hAnsi="Arial" w:cs="Arial"/>
        </w:rPr>
        <w:t>przedmiotu</w:t>
      </w:r>
      <w:r w:rsidR="007B5B2B">
        <w:rPr>
          <w:rFonts w:ascii="Arial" w:hAnsi="Arial" w:cs="Arial"/>
        </w:rPr>
        <w:t xml:space="preserve"> </w:t>
      </w:r>
      <w:r w:rsidRPr="00172056">
        <w:rPr>
          <w:rFonts w:ascii="Arial" w:hAnsi="Arial" w:cs="Arial"/>
        </w:rPr>
        <w:t>zamówienia. Koszty dokonania wizji lokalnej poniesie Wykonawca.</w:t>
      </w:r>
    </w:p>
    <w:p w14:paraId="20C4C642" w14:textId="4CF1AEDB" w:rsidR="008A0EA9" w:rsidRDefault="008A0EA9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ECDD5EE" w14:textId="386C8966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6DFDB02" w14:textId="676666F0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E87EE76" w14:textId="57E42AB9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747D51E" w14:textId="0B915368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1398709" w14:textId="75C29956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5817932" w14:textId="02B99803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5094D7C" w14:textId="569B5ABB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0F4A196" w14:textId="4D9E950D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7C8F414" w14:textId="2B0C4BC9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1C43218" w14:textId="3F8528E2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27E2ACF" w14:textId="4E56B683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FA490F6" w14:textId="389BF1E0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746B085" w14:textId="5D143C6A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C5E9741" w14:textId="77777777" w:rsidR="007E1FC8" w:rsidRDefault="007E1FC8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D1AB18E" w14:textId="6C84F89A" w:rsidR="00391A1C" w:rsidRPr="00391A1C" w:rsidRDefault="00391A1C" w:rsidP="00391A1C">
      <w:pPr>
        <w:spacing w:before="240" w:after="0" w:line="360" w:lineRule="auto"/>
        <w:jc w:val="right"/>
        <w:rPr>
          <w:rFonts w:ascii="Arial" w:hAnsi="Arial" w:cs="Arial"/>
          <w:i/>
        </w:rPr>
      </w:pPr>
      <w:r w:rsidRPr="00391A1C">
        <w:rPr>
          <w:rFonts w:ascii="Arial" w:hAnsi="Arial" w:cs="Arial"/>
          <w:i/>
        </w:rPr>
        <w:t xml:space="preserve">Załącznik </w:t>
      </w:r>
      <w:r w:rsidRPr="00931C51">
        <w:rPr>
          <w:rFonts w:ascii="Arial" w:hAnsi="Arial" w:cs="Arial"/>
          <w:b/>
          <w:i/>
        </w:rPr>
        <w:t>NR 1</w:t>
      </w:r>
      <w:r w:rsidRPr="00391A1C">
        <w:rPr>
          <w:rFonts w:ascii="Arial" w:hAnsi="Arial" w:cs="Arial"/>
          <w:i/>
        </w:rPr>
        <w:t xml:space="preserve"> do OPZ</w:t>
      </w:r>
    </w:p>
    <w:p w14:paraId="3955ABD0" w14:textId="1FA333AF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3029431" w14:textId="1180679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612BDD6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70240F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SZCZEGÓŁOWA SPECYFIKACJA TECHNICZNA</w:t>
      </w:r>
    </w:p>
    <w:p w14:paraId="6C82D49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22279A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FA2AD0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ED3BA0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 - 07.01.01</w:t>
      </w:r>
    </w:p>
    <w:p w14:paraId="6B94A75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40E5683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3BDAC55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52D1748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OZNAKOWANIE  POZIOME</w:t>
      </w:r>
    </w:p>
    <w:p w14:paraId="486FEAF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4317D3F" w14:textId="7D01043A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99EA9D5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" w:name="_Toc404150096"/>
      <w:bookmarkStart w:id="2" w:name="_Toc416830698"/>
      <w:bookmarkStart w:id="3" w:name="_Toc131919910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1. WSTĘP</w:t>
      </w:r>
      <w:bookmarkEnd w:id="1"/>
      <w:bookmarkEnd w:id="2"/>
      <w:bookmarkEnd w:id="3"/>
    </w:p>
    <w:p w14:paraId="06E64951" w14:textId="1F98F8A1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4" w:name="_Toc405615031"/>
      <w:bookmarkStart w:id="5" w:name="_Toc407161179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1.1. Przedmiot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</w:t>
      </w:r>
      <w:bookmarkEnd w:id="4"/>
      <w:bookmarkEnd w:id="5"/>
    </w:p>
    <w:p w14:paraId="4B97625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Przedmiotem niniejszej szczegółowej specyfikacji technicznej są wymagania techniczne dotyczące wykonania i odbioru robót związanych z:</w:t>
      </w:r>
    </w:p>
    <w:p w14:paraId="09A4B37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odnowieniem i wykonaniem oznakowania poziomego cienkowarstwowego i grubowarstwowego na drogach gminnych miasta Kołobrzeg </w:t>
      </w:r>
    </w:p>
    <w:p w14:paraId="0E85D2D8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Toc405615032"/>
      <w:bookmarkStart w:id="7" w:name="_Toc407161180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1.2. Zakres stosowania SST</w:t>
      </w:r>
      <w:bookmarkEnd w:id="6"/>
      <w:bookmarkEnd w:id="7"/>
    </w:p>
    <w:p w14:paraId="3EF6708D" w14:textId="77777777" w:rsidR="00391A1C" w:rsidRPr="00391A1C" w:rsidRDefault="00391A1C" w:rsidP="00391A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Szczegółowa specyfikacja techniczna jest stosowana jako dokument przetargowy i kontraktowy przy zleceniu i realizacji robót wymienionych w punkcie 1.1 </w:t>
      </w:r>
    </w:p>
    <w:p w14:paraId="0F48A106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8" w:name="_Toc405615033"/>
      <w:bookmarkStart w:id="9" w:name="_Toc407161181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1.3. Zakres robót objętych SST</w:t>
      </w:r>
      <w:bookmarkEnd w:id="8"/>
      <w:bookmarkEnd w:id="9"/>
    </w:p>
    <w:p w14:paraId="705627D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Ustalenia zawarte w niniejszej specyfikacji dotyczą zasad prowadzenia robót związanych z wykonywaniem i odbiorem oznakowania poziomego stosowanego na drogach o nawierzchni twardej.</w:t>
      </w:r>
    </w:p>
    <w:p w14:paraId="34423F1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B17D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1.4. Określenia podstawowe</w:t>
      </w:r>
    </w:p>
    <w:p w14:paraId="494D8B2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poziome - znaki drogowe poziome, umieszczone na nawierzchni w postaci linii ciągłych lub przerywanych, pojedynczych lub podwójnych, strzałek, napisów, symboli oraz innych linii związanych z oznaczeniem określonych miejsc na tej nawierzchni. W zależności od rodzaju i sposobu zastosowania znaki poziome mogą mieć znaczenie prowadzące, segregujące, informujące, ostrzegawcze, zakazujące lub nakazujące.</w:t>
      </w:r>
    </w:p>
    <w:p w14:paraId="3EE1776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podłużne - linie równoległe do osi jezdni lub odchylone od niej pod niewielkim kątem, występujące jako linie: – pojedyncze: przerywane lub ciągłe, segregacyjne lub krawędziowe, – podwójne: ciągłe z przerywanymi, ciągłe lub przerywane.</w:t>
      </w:r>
    </w:p>
    <w:p w14:paraId="6AAE380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1.4.3.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Strzałki - znaki poziome na nawierzchni, występujące jako strzałki kierunkowe służące do wskazania dozwolonego kierunku zjazdu z pasa oraz strzałki naprowadzające, które uprzedzają o konieczności opuszczenia pasa, na którym się znajdują.</w:t>
      </w:r>
    </w:p>
    <w:p w14:paraId="38A94D2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poprzeczne - znaki służące do oznaczenia miejsc przeznaczonych do ruchu pieszych i rowerzystów w poprzek drogi, miejsc wymagających zatrzymania pojazdów oraz miejsc lokalizacji progów zwalniających.</w:t>
      </w:r>
    </w:p>
    <w:p w14:paraId="520273E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uzupełniające - znaki o różnych kształtach, wymiarach i przeznaczeniu, występujące w postaci symboli, napisów, linii przystankowych, stanowisk i pasów postojowych, powierzchni wyłączonych z ruchu oraz symboli znaków pionowych w oznakowaniu poziomym.</w:t>
      </w:r>
    </w:p>
    <w:p w14:paraId="4324C2A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1.4.6.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posiadać właściwości odblaskowe.</w:t>
      </w:r>
    </w:p>
    <w:p w14:paraId="744D404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1.4.7.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do znakowania cienkowarstwowego - farby rozpuszczalnikowe, wodorozcieńczalne i chemoutwardzalne nakładane warstwą grubości od </w:t>
      </w:r>
      <w:smartTag w:uri="urn:schemas-microsoft-com:office:smarttags" w:element="metricconverter">
        <w:smartTagPr>
          <w:attr w:name="ProductID" w:val="0,4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0,4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0,8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mierzoną na mokro.</w:t>
      </w:r>
    </w:p>
    <w:p w14:paraId="52A9124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1.4.8.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ProductID" w:val="0,9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3,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3,5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Należą do nich masy termoplastyczne i masy chemoutwardzalne stosowane na zimno. Dla linii strukturalnych i profilowanych grubość linii może wynosić </w:t>
      </w:r>
      <w:smartTag w:uri="urn:schemas-microsoft-com:office:smarttags" w:element="metricconverter">
        <w:smartTagPr>
          <w:attr w:name="ProductID" w:val="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B2E35A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1.4.9.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prefabrykowane - materiały, które łączy się z powierzchnią drogi przez klejenie, wtapianie, wbudowanie lub w inny sposób. Zalicza się do nich masy termoplastyczne w arkuszach do wtapiania oraz taśmy do oznakowań tymczasowych (żółte) i trwałych (białe).</w:t>
      </w:r>
    </w:p>
    <w:p w14:paraId="76CE4DE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1.4.10.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 elementy odblaskowe - urządzenia prowadzenia poziomego, o różnym kształcie, wielkości i wysokość oraz rodzaju i liczbie zastosowanych odbłyśników, które odbijają padające z boku oświetlenie w celu ostrzegania, prowadzenia i informowania użytkowników drogi. Punktowy element odblaskowy może składać się z jednej lub kilku integralnie związanych ze sobą części, może być przyklejony, zakotwiczony  lub wbudowany w nawierzchnię drogi. Część odblaskowa może być jedno lub dwukierunkowa, może się zginać lub nie. Element ten może być typu stałego (P) lub tymczasowego (T).</w:t>
      </w:r>
    </w:p>
    <w:p w14:paraId="638F236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Kulki szklane – materiał w postaci przezroczystych, kulistych cząstek szklanych do posypywania lub narzucania pod ciśnieniem na oznakowanie wykonane materiałami w stanie ciekłym, w celu uzyskania widzialności oznakowania w nocy przez odbicie powrotne padającej wiązki światła pojazdu w kierunku kierowcy. Kulki szklane są także składnikami materiałów grubowarstwowych.</w:t>
      </w:r>
    </w:p>
    <w:p w14:paraId="054F19B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Kruszywo przeciwpoślizgowe – twarde ziarna pochodzenia naturalnego lub sztucznego stosowane do zapewnienia własności przeciwpoślizgowych poziomym oznakowaniom dróg, stosowane samo lub w mieszaninie z kulkami szklanymi.</w:t>
      </w:r>
    </w:p>
    <w:p w14:paraId="46994FE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nowe – oznakowanie, w którym zakończył się czas schnięcia i nie upłynęło 30 dni od wykonania oznakowania. Pomiary właściwości oznakowania należy wykonywać od 14 do 30 dnia po wykonaniu oznakowania.</w:t>
      </w:r>
    </w:p>
    <w:p w14:paraId="029B180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Tymczasowe oznakowanie drogowe - oznakowanie z materiału o barwie żółtej, którego czas użytkowania wynosi do 3 miesięcy lub do czasu zakończenia robót.</w:t>
      </w:r>
    </w:p>
    <w:p w14:paraId="12F5867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i pozostałe określenia są zgodne z odpowiednimi polskimi normami i z definicjami podanymi w OST D-M-00.00.00 „Wymagania ogólne” pkt 1.4. </w:t>
      </w:r>
    </w:p>
    <w:p w14:paraId="7034F087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1.5. Ogólne wymagania dotyczące robót</w:t>
      </w:r>
    </w:p>
    <w:p w14:paraId="39FC65B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wymagania dotyczące robót podano w OST D-M-00.00.00 „Wymagania ogólne” pkt 1.5. </w:t>
      </w:r>
    </w:p>
    <w:p w14:paraId="22D66B35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0" w:name="_Toc131919911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2. materiały</w:t>
      </w:r>
      <w:bookmarkEnd w:id="10"/>
    </w:p>
    <w:p w14:paraId="16DB884E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2.1. Ogólne wymagania dotyczące materiałów</w:t>
      </w:r>
    </w:p>
    <w:p w14:paraId="7F08C6B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materiałów, ich pozyskiwania i składowania podano w OST D-M-00.00.00 „Wymagania ogólne” pkt 2.</w:t>
      </w:r>
    </w:p>
    <w:p w14:paraId="0EBC4508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2.2. Dokument dopuszczający do stosowania materiałów</w:t>
      </w:r>
    </w:p>
    <w:p w14:paraId="67B102C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Materiały stosowane przez Wykonawcę do poziomego oznakowania dróg powinny spełniać warunki postawione w rozporządzeniu Ministra Infrastruktury [7]. </w:t>
      </w:r>
    </w:p>
    <w:p w14:paraId="0CC4289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Producenci powinni oznakować wyroby znakiem budowlanym B, zgodnie z rozporządzeniem Ministra Infrastruktury [8], co oznacza wystawienie deklaracji zgodności z aprobatą techniczną (np. dla farb oraz mas chemoutwardzalnych i termoplastycznych) lub  znakiem CE, zgodnie z rozporządzeniem Ministra Infrastruktury [12], co oznacza wystawienie deklaracji zgodności z normą zharmonizowaną (np. dla kulek szklanych [3, 3a] i punktowych elementów odblaskowych [5, 5a].</w:t>
      </w:r>
    </w:p>
    <w:p w14:paraId="5C570233" w14:textId="77777777" w:rsidR="00391A1C" w:rsidRPr="00391A1C" w:rsidRDefault="00391A1C" w:rsidP="0039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Aprobaty techniczne wystawione przed czasem wejścia w życie rozporządzenia [15]  nie mogą być zmieniane lecz zachowują ważność przez okres, na jaki zostały wydane. W tym przypadku do oznakowania wyrobu znakiem budowlanym B wystarcza deklaracja zgodności z aprobatą techniczną.</w:t>
      </w:r>
    </w:p>
    <w:p w14:paraId="10FC3F5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Powyższe zasady należy stosować także do oznakowań tymczasowych wykonywanych materiałami o barwie żółtej.</w:t>
      </w:r>
    </w:p>
    <w:p w14:paraId="381693CB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2.3. Badanie materiałów, których jakość budzi wątpliwość</w:t>
      </w:r>
    </w:p>
    <w:p w14:paraId="5530AC8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powinien przeprowadzić dodatkowe badania tych materiałów, które budzą wątpliwości jego lub inspektora, co do jakości, w celu stwierdzenia czy odpowiadają one wymaganiom określonym w aprobacie technicznej. Badania te Wykonawca zleci IBDiM lub akredytowanemu laboratorium drogowemu. Badania powinny być wykonane zgodnie z PN-EN 1871:2003 [6] lub Warunkami Technicznymi POD-97 [9] lub POD-2006 po ich wydaniu [10].</w:t>
      </w:r>
    </w:p>
    <w:p w14:paraId="4756E84B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2.4. Oznakowanie opakowań</w:t>
      </w:r>
    </w:p>
    <w:p w14:paraId="6C1A62C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14:paraId="4B4B7A5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i adres producenta,</w:t>
      </w:r>
    </w:p>
    <w:p w14:paraId="29A0B7D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produkcji i termin przydatności do użycia,</w:t>
      </w:r>
    </w:p>
    <w:p w14:paraId="15BA80D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masę netto,</w:t>
      </w:r>
    </w:p>
    <w:p w14:paraId="2EED6CA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partii i datę produkcji,</w:t>
      </w:r>
    </w:p>
    <w:p w14:paraId="656D42FD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informację, że wyrób posiada aprobatę techniczną IBDiM i jej numer,</w:t>
      </w:r>
    </w:p>
    <w:p w14:paraId="2BAFD05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jednostki certyfikującej i numer certyfikatu, jeśli dotyczy [8], </w:t>
      </w:r>
    </w:p>
    <w:p w14:paraId="12D8205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 budowlany „B” wg rozporządzenia Ministra Infrastruktury [8] i/lub znak „CE” wg rozporządzenia Ministra Infrastruktury [12],</w:t>
      </w:r>
    </w:p>
    <w:p w14:paraId="085DDD8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szkodliwości i klasie zagrożenia pożarowego,</w:t>
      </w:r>
    </w:p>
    <w:p w14:paraId="1407A2A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wskazówki dla użytkowników.</w:t>
      </w:r>
    </w:p>
    <w:p w14:paraId="03F71BF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farb rozpuszczalnikowych i wyrobów chemoutwardzalnych oznakowanie opakowania powinno być zgodne z rozporządzeniem Ministra Zdrowia [13].</w:t>
      </w:r>
    </w:p>
    <w:p w14:paraId="39F8708D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2.5. Przepisy określające wymagania dla materiałów</w:t>
      </w:r>
    </w:p>
    <w:p w14:paraId="0B02B64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Podstawowe wymagania dotyczące materiałów podano w punkcie 2.6, a szczegółowe wymagania określone są w Warunkach technicznych POD-97 [9] lub POD-2006 po ich wydaniu [10].</w:t>
      </w:r>
    </w:p>
    <w:p w14:paraId="02188317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2.6. Wymagania wobec materiałów do poziomego oznakowania dróg</w:t>
      </w:r>
    </w:p>
    <w:p w14:paraId="0169B80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Materiały do oznakowań cienkowarstwowych</w:t>
      </w:r>
    </w:p>
    <w:p w14:paraId="4FC6115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Materiałami do wykonywania oznakowania cienkowarstwowego powinny być farby nakładane warstwą grubości od </w:t>
      </w:r>
      <w:smartTag w:uri="urn:schemas-microsoft-com:office:smarttags" w:element="metricconverter">
        <w:smartTagPr>
          <w:attr w:name="ProductID" w:val="0,4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0,4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0,8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 mokro). Powinny to być ciekłe produkty zawierające ciała stałe zdyspergowane w roztworze żywicy syntetycznej w rozpuszczalniku organicznym lub w wodzie, które mogą występować w układach jedno- lub wieloskładnikowych.</w:t>
      </w:r>
    </w:p>
    <w:p w14:paraId="7C93AF1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14:paraId="48B1859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Właściwości fizyczne poszczególnych materiałów do poziomego oznakowania cienkowarstwowego określają aprobaty techniczne. </w:t>
      </w:r>
    </w:p>
    <w:p w14:paraId="5D5F939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do oznakowań grubowarstwowych</w:t>
      </w:r>
    </w:p>
    <w:p w14:paraId="36AE644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Materiałami do wykonywania oznakowania grubowarstwowego powinny być materiały umożliwiające nakładanie ich warstwą grubości od </w:t>
      </w:r>
      <w:smartTag w:uri="urn:schemas-microsoft-com:office:smarttags" w:element="metricconverter">
        <w:smartTagPr>
          <w:attr w:name="ProductID" w:val="0,9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takie, jak masy chemoutwardzalne stosowane na zimno oraz masy termoplastyczne.</w:t>
      </w:r>
    </w:p>
    <w:p w14:paraId="5B4A79E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Masy chemoutwardzalne powinny być substancjami jedno-, dwu- lub trójskładnikowymi, mieszanymi ze sobą w proporcjach ustalonych przez producenta i nakładanymi na nawierzchnię z użyciem odpowiedniego sprzętu. Masy te powinny tworzyć powłokę, której spójność zapewnia jedynie reakcja chemiczna.</w:t>
      </w:r>
    </w:p>
    <w:p w14:paraId="5334230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spójną warstwę przez ochłodzenie.</w:t>
      </w:r>
    </w:p>
    <w:p w14:paraId="1231C58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fizyczne materiałów do oznakowania grubowarstwowego i wykonanych z nich elementów prefabrykowanych określają aprobaty techniczne.</w:t>
      </w:r>
    </w:p>
    <w:p w14:paraId="1A728B2E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Zawartość składników lotnych w materiałach do znakowania cienkowarstwowego</w:t>
      </w:r>
    </w:p>
    <w:p w14:paraId="375228B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Zawartość składników lotnych (rozpuszczalników organicznych) nie powinna przekraczać 25% (m/m) w postaci gotowej do aplikacji, w materiałach do znakowania cienkowarstwowego. </w:t>
      </w:r>
    </w:p>
    <w:p w14:paraId="65F0FFD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dopuszcza się stosowania materiałów zawierających rozpuszczalnik aromatyczny (jak np. toluen, ksylen, etylobenzen) w ilości większej niż 8 % (m/m). Nie dopuszcza się stosowania materiałów zawierających benzen i rozpuszczalniki chlorowane.</w:t>
      </w:r>
    </w:p>
    <w:p w14:paraId="6993FBF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końca 2007 r. dopuszcza się stosowanie farb rozpuszczalnikowych o zawartości składników lotnych do 30 % (m/m) i rozpuszczalników aromatycznych do 10 % (m/m). </w:t>
      </w:r>
    </w:p>
    <w:p w14:paraId="6D367EF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Kulki szklane</w:t>
      </w:r>
    </w:p>
    <w:p w14:paraId="5EB2693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14:paraId="7D7BD49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Kulki szklane powinny charakteryzować się współczynnikiem załamania powyżej 1,50, wykazywać odporność na wodę, kwas solny, chlorek wapniowy i siarczek sodowy oraz zawierać nie więcej niż 20% kulek z defektami w przypadku kulek o maksymalnej średnicy poniżej </w:t>
      </w:r>
      <w:smartTag w:uri="urn:schemas-microsoft-com:office:smarttags" w:element="metricconverter">
        <w:smartTagPr>
          <w:attr w:name="ProductID" w:val="1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30 % w przypadku kulek o maksymalnej średnicy równej i większej niż </w:t>
      </w:r>
      <w:smartTag w:uri="urn:schemas-microsoft-com:office:smarttags" w:element="metricconverter">
        <w:smartTagPr>
          <w:attr w:name="ProductID" w:val="1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Krzywa uziarnienia powinna mieścić się w krzywych granicznych podanych w wymaganiach aprobaty technicznej wyrobu lub w certyfikacie CE.</w:t>
      </w:r>
    </w:p>
    <w:p w14:paraId="1298CFF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Kulki szklane hydrofobizowane powinny ponadto wykazywać stopień hydrofobizacji co najmniej 80%. </w:t>
      </w:r>
    </w:p>
    <w:p w14:paraId="0B6E5E3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i metody badań kulek szklanych podano w PN-EN 1423:2000[3, 3a].</w:t>
      </w:r>
    </w:p>
    <w:p w14:paraId="2422368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kulek szklanych określają odpowiednie aprobaty techniczne, lub certyfikaty „CE”.</w:t>
      </w:r>
    </w:p>
    <w:p w14:paraId="4F91E5B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 uszorstniający oznakowanie</w:t>
      </w:r>
    </w:p>
    <w:p w14:paraId="2B26FBD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 uszorstniający oznakowanie powinien składać się z naturalnego lub sztucznego twardego kruszywa (np. krystobalitu), stosowanego w celu zapewnienia oznakowaniu odpowiedniej szorstkości (właściwości antypoślizgowych). Materiał uszorstniający nie może zawierać więcej niż 1% cząstek mniejszych niż 90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D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 Potrzeba stosowania materiału uszorstniającego powinna być określona w SST. Konieczność jego użycia zachodzi w przypadku potrzeby uzyskania wskaźnika szorstkości oznakowania  SRT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50.</w:t>
      </w:r>
    </w:p>
    <w:p w14:paraId="119951B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 uszorstniający (kruszywo przeciwpoślizgowe) oraz mieszanina kulek szklanych z materiałem uszorstniającym powinny odpowiadać wymaganiom określonym w aprobacie technicznej. </w:t>
      </w:r>
    </w:p>
    <w:p w14:paraId="41DF7ED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2.6.6.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 elementy odblaskowe</w:t>
      </w:r>
    </w:p>
    <w:p w14:paraId="3611D6E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 wg PN-EN 1463-1:2000 [5, 5a].</w:t>
      </w:r>
    </w:p>
    <w:p w14:paraId="656DF26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Odbłyśnik, będący częścią punktowego elementu odblaskowego może być:</w:t>
      </w:r>
    </w:p>
    <w:p w14:paraId="45F8F96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szklany lub plastikowy w całości lub z dodatkową warstwą odbijającą znajdującą się na powierzchni nie wystawionej na zewnątrz i nie narażoną na przejeżdżanie pojazdów,</w:t>
      </w:r>
    </w:p>
    <w:p w14:paraId="7B85207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14:paraId="3D3C321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ProductID" w:val="2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Barwa, w przypadku oznakowania trwałego, powinna być biała lub czerwona, a dla oznakowania czasowego – żółta zgodnie z załącznikiem nr 2 do rozporządzenia Ministra Infrastruktury [7].</w:t>
      </w:r>
    </w:p>
    <w:p w14:paraId="495AEF6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Spośród punktowych elementów odblaskowych (PEO) stosowanych do oznakowań poziomych wyróżniają się PEO ze szklanym korpusem pełnym (odbłyśnik wielokierunkowy) lub zawierającym świecące diody LED i ewentualnie ogniwo słoneczne z baterią, tzw. aktywne PEO. Nie mieszczą się one w klasyfikacji PN-EN 1463-1:2001 [5], choć spełniają tę samą funkcję co typowe punktowe elementy odblaskowe, tj. kierunkują pojazdy w nocy w czasie suchej i mokrej pogody.</w:t>
      </w:r>
    </w:p>
    <w:p w14:paraId="40A01C9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PEO szklane z pełnym korpusem mogą być stosowane do oznakowania rond kompaktowych ze względu na ich geometrię 360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975873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i wymagania dotyczące punktowych elementów odblaskowych określone są w normie zharmonizowanej [5a] i odpowiednich  aprobatach technicznych.</w:t>
      </w:r>
    </w:p>
    <w:p w14:paraId="0CD182A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2.6.7.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wobec materiałów ze względu na ochronę warunków pracy i środowiska</w:t>
      </w:r>
    </w:p>
    <w:p w14:paraId="5C8E1E8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stosowane do znakowania nawierzchni nie powinny zawierać substancji zagrażających zdrowiu ludzi i powodujących skażenie środowiska.</w:t>
      </w:r>
    </w:p>
    <w:p w14:paraId="5336F7EA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2.7. Przechowywanie i składowanie materiałów</w:t>
      </w:r>
    </w:p>
    <w:p w14:paraId="7ED1AD0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oznakowania cienko- i grubowarstwowego nawierzchni powinny zachować stałość swoich właściwości chemicznych i fizykochemicznych przez okres co najmniej 6 miesięcy składowania w warunkach określonych przez producenta.</w:t>
      </w:r>
    </w:p>
    <w:p w14:paraId="4CE83B1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poziomego oznakowania dróg należy przechowywać w magazynach odpowiadających zaleceniom producenta, zwłaszcza zabezpieczających je od napromieniowania słonecznego, opadów i w temperaturze, dla:</w:t>
      </w:r>
    </w:p>
    <w:p w14:paraId="042FAEE9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farb wodorozcieńczalnych od 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 do 40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</w:t>
      </w:r>
    </w:p>
    <w:p w14:paraId="3455D40C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farb rozpuszczalnikowych od -5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 do 25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</w:t>
      </w:r>
    </w:p>
    <w:p w14:paraId="5BB49B10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pozostałych materiałów - poniżej 40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C.</w:t>
      </w:r>
    </w:p>
    <w:p w14:paraId="3AAD9253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1" w:name="_Toc131919912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3. sprzęt</w:t>
      </w:r>
      <w:bookmarkEnd w:id="11"/>
    </w:p>
    <w:p w14:paraId="2FD34801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3.1. Ogólne wymagania dotyczące sprzętu</w:t>
      </w:r>
    </w:p>
    <w:p w14:paraId="577E1DA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sprzętu podano w OST D-M-00.00.00 „Wymagania ogólne” pkt 3.</w:t>
      </w:r>
    </w:p>
    <w:p w14:paraId="1C43D6CD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3.2. Sprzęt do wykonania oznakowania poziomego</w:t>
      </w:r>
    </w:p>
    <w:p w14:paraId="71942F1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14:paraId="5CE0780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szczotek mechanicznych (zaleca się stosowanie szczotek wyposażonych w urządzenia odpylające) oraz szczotek ręcznych,</w:t>
      </w:r>
    </w:p>
    <w:p w14:paraId="2A696E3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frezarek,</w:t>
      </w:r>
    </w:p>
    <w:p w14:paraId="29B5633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sprężarek,</w:t>
      </w:r>
    </w:p>
    <w:p w14:paraId="2EABC97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malowarek,</w:t>
      </w:r>
    </w:p>
    <w:p w14:paraId="0F5B97B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układarek mas termoplastycznych i chemoutwardzalnych,</w:t>
      </w:r>
    </w:p>
    <w:p w14:paraId="47D8330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wyklejarek do taśm,</w:t>
      </w:r>
    </w:p>
    <w:p w14:paraId="4C2979F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sprzętu do badań, określonego w SST.</w:t>
      </w:r>
    </w:p>
    <w:p w14:paraId="6E37DE7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zapewnić odpowiednią jakość, ilość i wydajność malowarek lub układarek proporcjonalną do wielkości i czasu wykonania całego zakresu robót.</w:t>
      </w:r>
    </w:p>
    <w:p w14:paraId="705DE20D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2" w:name="_Toc131919913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4. transport</w:t>
      </w:r>
      <w:bookmarkEnd w:id="12"/>
    </w:p>
    <w:p w14:paraId="5CB60BB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4.1. Ogólne wymagania dotyczące transportu</w:t>
      </w:r>
    </w:p>
    <w:p w14:paraId="4EECB3E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transportu podano w OST D-M-00.00.00 „Wymagania ogólne” pkt 4.</w:t>
      </w:r>
    </w:p>
    <w:p w14:paraId="69BEED93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4.2. Przewóz materiałów do poziomego znakowania dróg</w:t>
      </w:r>
    </w:p>
    <w:p w14:paraId="5CAD0AE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poziomego znakowania dróg należy przewozić w opakowaniach zapewniających szczelność, bezpieczny transport i zachowanie wymaganych właściwości materiałów. Pojemniki powinny być oznakowane zgodnie z normą PN-O-79252 [2]. W przypadku  materiałów niebezpiecznych opakowania powinny być oznakowane zgodnie z rozporządzeniem Ministra Zdrowia [13].</w:t>
      </w:r>
    </w:p>
    <w:p w14:paraId="7587117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Farby rozpuszczalnikowe, rozpuszczalniki palne oraz farby i masy chemoutwardzalne należy transportować zgodnie z postanowieniami umowy międzynarodowej [14] dla transportu drogowego materiałów palnych, klasy 3, oraz szczegółowymi zaleceniami zawartymi w karcie charakterystyki wyrobu sporządzonej przez producenta. Wyroby, wyżej wymienione, nie posiadające karty charakterystyki nie powinny być dopuszczone do transportu.</w:t>
      </w:r>
    </w:p>
    <w:p w14:paraId="59B6A14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Pozostałe materiały do znakowania poziomego należy przewozić krytymi środkami transportowymi, chroniąc opakowania przed uszkodzeniem mechanicznym, zgodnie z PN-C-81400 [1] oraz zgodnie z prawem przewozowym.</w:t>
      </w:r>
    </w:p>
    <w:p w14:paraId="4E561BE6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3" w:name="_Toc131919914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5. wykonanie robót</w:t>
      </w:r>
      <w:bookmarkEnd w:id="13"/>
    </w:p>
    <w:p w14:paraId="5879311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5.1. Ogólne zasady wykonania robót</w:t>
      </w:r>
    </w:p>
    <w:p w14:paraId="3C5D978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zasady wykonania robót podano w OST D-M-00.00.00 „Wymagania ogólne” pkt 5. Nowe i odnowione nawierzchnie dróg przed otwarciem do ruchu muszą być oznakowane zgodnie z dokumentacją projektową. </w:t>
      </w:r>
    </w:p>
    <w:p w14:paraId="6D8ACAC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5.2. Warunki atmosferyczne</w:t>
      </w:r>
    </w:p>
    <w:p w14:paraId="0092A2C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czasie wykonywania oznakowania temperatura nawierzchni i powietrza powinna wynosić co najmniej 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 a wilgotność względna powietrza powinna być zgodna z zaleceniami producenta lub wynosić co najwyżej 85%.</w:t>
      </w:r>
    </w:p>
    <w:p w14:paraId="147BFF85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5.3. Jednorodność nawierzchni znakowanej</w:t>
      </w:r>
    </w:p>
    <w:p w14:paraId="7406468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Poprawność wykonania znakowania wymaga jednorodności nawierzchni znakowanej. Nierówności i/lub miejsca napraw cząstkowych nawierzchni, które nie wyróżniają się od starej nawierzchni i nie mają większego rozmiaru niż 15% powierzchni znakowanej, uznaje się za powierzchnie jednorodne. Dla powierzchni niejednorodnych należy w SST ustalić: rozmiary powierzchni niejednorodnej zgodnie z Systemem Oceny Stanu Nawierzchni (SOSN), odkształcenia nawierzchni (otwarte złącza podłużne, koleiny, spękania, przełomy, garby), wymagania wobec materiału do oznakowania nawierzchni i wymagania wobec Wykonawcy.</w:t>
      </w:r>
    </w:p>
    <w:p w14:paraId="2FCC19F2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5.4. Przygotowanie podłoża do wykonania znakowania</w:t>
      </w:r>
    </w:p>
    <w:p w14:paraId="440C2F0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14:paraId="22742E4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Powierzchnia nawierzchni przygotowana do wykonania oznakowania poziomego musi być czysta i sucha.</w:t>
      </w:r>
    </w:p>
    <w:p w14:paraId="5E1F34E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5.5. Przedznakowanie</w:t>
      </w:r>
    </w:p>
    <w:p w14:paraId="6E3C573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dokładnego wykonania poziomego oznakowania drogi, można wykonać przedznakowanie, stosując się do ustaleń zawartych w dokumentacji projektowej, w załączniku nr 2 do rozporządzenia Ministra Infrastruktury [7], SST i wskazaniach inspektora.</w:t>
      </w:r>
    </w:p>
    <w:p w14:paraId="1BEB54D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wykonania przedznakowania można stosować nietrwałą farbę, np. farbę silnie rozcieńczoną rozpuszczalnikiem. Zaleca się wykonywanie przedznakowania w postaci cienkich linii lub kropek. Początek i koniec znakowania należy zaznaczyć małą kreską poprzeczną.</w:t>
      </w:r>
    </w:p>
    <w:p w14:paraId="2E219C6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odnawiania oznakowania drogi, gdy stare oznakowanie jest wystarczająco czytelne i zgodne z dokumentacją projektową, można przedznakowania nie wykonywać.</w:t>
      </w:r>
    </w:p>
    <w:p w14:paraId="5A7B253D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5.6. Wykonanie oznakowania drogi</w:t>
      </w:r>
    </w:p>
    <w:p w14:paraId="415089F9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5.6.1.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materiałów i spełnienie zaleceń producenta materiałów</w:t>
      </w:r>
    </w:p>
    <w:p w14:paraId="49C9F61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14:paraId="63F39C8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materiałami cienkowarstwowymi</w:t>
      </w:r>
    </w:p>
    <w:p w14:paraId="13C82F9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znakowania powinno być zgodne z zaleceniami producenta materiałów, a w przypadku ich braku lub niepełnych danych - zgodne z poniższymi wskazaniami.</w:t>
      </w:r>
    </w:p>
    <w:p w14:paraId="01D6CA8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Farbę do znakowania cienkowarstwowego po otwarciu opakowania należy wymieszać w czasie od 2 do 4 minut do uzyskania pełnej jednorodności. Przed lub w czasie napełniania zbiornika malowarki zaleca się przecedzić farbę przez sito </w:t>
      </w:r>
      <w:smartTag w:uri="urn:schemas-microsoft-com:office:smarttags" w:element="metricconverter">
        <w:smartTagPr>
          <w:attr w:name="ProductID" w:val="0,6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0,6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Nie wolno stosować do malowania mechanicznego farby, w której osad na dnie opakowania nie daje się całkowicie wymieszać lub na jej powierzchni znajduje się kożuch.</w:t>
      </w:r>
    </w:p>
    <w:p w14:paraId="2824CE5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Farbę należy nakładać równomierną warstwą o grubości ustalonej w SST, zachowując wymiary i ostrość krawędzi. Grubość nanoszonej warstwy zaleca się kontrolować przy pomocy grzebienia pomiarowego na płytce szklanej lub metalowej podkładanej na drodze malowarki. Ilość farby zużyta w czasie prac, określona przez średnie zużycie na metr kwadratowy nie może się różnić od ilości ustalonej, więcej niż o 20%.</w:t>
      </w:r>
    </w:p>
    <w:p w14:paraId="270C16D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Wszystkie większe prace powinny być wykonane przy użyciu samojezdnych malowarek z automatycznym podziałem linii i posypywaniem kulkami szklanymi z ew. materiałem uszorstniającym. W przypadku mniejszych prac, wielkość, wydajność i jakość sprzętu należy dostosować do zakresu i rozmiaru prac. Decyzję dotyczącą rodzaju sprzętu i sposobu wykonania znakowania podejmuje Inżynier na wniosek Wykonawcy.</w:t>
      </w:r>
    </w:p>
    <w:p w14:paraId="15D58BB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materiałami grubowarstwowymi</w:t>
      </w:r>
    </w:p>
    <w:p w14:paraId="3C5E32F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oznakowania powinno być zgodne z zaleceniami producenta materiałów, a w przypadku ich braku lub niepełnych danych - zgodne z poniższymi wskazaniami.</w:t>
      </w:r>
    </w:p>
    <w:p w14:paraId="04D50F4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 znakujący należy nakładać równomierną warstwą o grubości (lub w ilości) ustalonej w SST, zachowując wymiary i ostrość krawędzi. Grubość nanoszonej warstwy zaleca się kontrolować przy pomocy grzebienia pomiarowego na płytce metalowej, podkładanej na drodze malowarki. Ilość materiału zużyta w czasie prac, określona przez średnie zużycie na metr kwadratowy, nie może się różnić od ilości ustalonej, więcej niż o 20%.</w:t>
      </w:r>
    </w:p>
    <w:p w14:paraId="7CB72A4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mas chemoutwardzalnych i termoplastycznych wszystkie większe prace (linie krawędziowe, segregacyjne na długich odcinkach dróg) powinny być wykonywane przy użyciu urządzeń samojezdnych z automatycznym podziałem linii i posypywaniem kulkami szklanymi z ew. materiałem uszorstniającym. W przypadku mniejszych prac, wielkość, wydajność i jakość sprzętu należy dostosować do ich zakresu i rozmiaru. Decyzję dotyczącą rodzaju sprzętu i sposobu wykonania znakowania podejmuje Inżynier na wniosek Wykonawcy. W przypadku znakowania nawierzchni betonowej należy przed aplikacją usunąć warstwę powierzchniową betonu metodą frezowania, śrutowania lub waterblasting, aby zlikwidować pozostałości mleczka cementowego i uszorstnić powierzchnię. Po usunięciu warstwy powierzchniowej betonu, należy powierzchnię znakowaną umyć wodą pod ciśnieniem oraz zagruntować środkiem wskazanym przez producenta masy (podkład, grunt, primer) w ilości przez niego podanej.</w:t>
      </w:r>
    </w:p>
    <w:p w14:paraId="19DE7ED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punktowymi elementami odblaskowymi</w:t>
      </w:r>
    </w:p>
    <w:p w14:paraId="07B5319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oznakowania powinno być zgodne z zaleceniami producenta materiałów, a w przypadku ich braku lub niepełnych danych - zgodne z poniższymi wskazaniami.</w:t>
      </w:r>
    </w:p>
    <w:p w14:paraId="4D3B15E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wykonywaniu oznakowania punktowymi elementami odblaskowymi należy zwracać szczególną uwagę na staranne mocowanie elementów do podłoża, od czego zależy trwałość wykonanego oznakowania.</w:t>
      </w:r>
    </w:p>
    <w:p w14:paraId="6EC4791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14:paraId="026735D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znakowania nawierzchni betonowych należy zastosować podkład (primer) poprawiający przyczepność przyklejanych punktowych elementów odblaskowych do nawierzchni.</w:t>
      </w:r>
    </w:p>
    <w:p w14:paraId="4C89269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5.6.5.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oznakowania tymczasowego</w:t>
      </w:r>
    </w:p>
    <w:p w14:paraId="449A2C2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 xml:space="preserve">Do wykonywania oznakowania tymczasowego barwy żółtej należy stosować materiały łatwe do usunięcia po zakończeniu okresu tymczasowości. Linie wyznaczające pasy ruchu zaleca się uzupełnić punktowymi elementami odblaskowymi z odbłyśnikami także barwy żółtej. </w:t>
      </w:r>
    </w:p>
    <w:p w14:paraId="699C8E9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>Czasowe oznakowanie poziome powinno być wykonane z materiałów odblaskowych. Do jego wykonania należy stosować: farby, taśmy samoprzylepne lub punktowe elementy odblaskowe. Stosowanie farb dopuszcza się wyłącznie w takich przypadkach, gdy w wyniku przewidywanych robót nawierzchniowych oznakowanie to po ich zakończeniu będzie całkowicie niewidoczne, np. zostanie przykryte nową warstwą ścieralną nawierzchni.</w:t>
      </w:r>
    </w:p>
    <w:p w14:paraId="3617EA9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 xml:space="preserve">Materiały stosowane do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oznakowania tymczasowego powinny także posiadać aprobaty techniczne, a producent powinien wystawiać deklarację zgodności.</w:t>
      </w:r>
    </w:p>
    <w:p w14:paraId="4E8F5641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5.7. Usuwanie oznakowania poziomego</w:t>
      </w:r>
    </w:p>
    <w:p w14:paraId="6BECECA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konieczności usunięcia istniejącego oznakowania poziomego, czynność tę należy wykonać jak najmniej uszkadzając nawierzchnię.</w:t>
      </w:r>
    </w:p>
    <w:p w14:paraId="7B40ACB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Zaleca się wykonywać usuwanie oznakowania:</w:t>
      </w:r>
    </w:p>
    <w:p w14:paraId="7B2F030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cienkowarstwowego, metodą: frezowania mechanicznego lub wodą pod wysokim ciśnieniem (waterblasting), piaskowania, śrutowania, trawienia, wypalania lub zamalowania,</w:t>
      </w:r>
    </w:p>
    <w:p w14:paraId="559525C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grubowarstwowego, metodą piaskowania, kulkowania, frezowania,</w:t>
      </w:r>
    </w:p>
    <w:p w14:paraId="55D7EAB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punktowego, prostymi narzędziami mechanicznymi.</w:t>
      </w:r>
    </w:p>
    <w:p w14:paraId="5755102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Środki zastosowane do usunięcia oznakowania nie mogą wpływać ujemnie na przyczepność nowego oznakowania do podłoża, na jego szorstkość, trwałość oraz na właściwości podłoża.</w:t>
      </w:r>
    </w:p>
    <w:p w14:paraId="75598A8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Usuwanie oznakowania na czas robót drogowych może być wykonane przez zamalowanie nietrwałą farbą barwy czarnej.</w:t>
      </w:r>
    </w:p>
    <w:p w14:paraId="072509A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pozostałe po usunięciu oznakowania należy usunąć z drogi tak, aby nie zanieczyszczały środowiska, w miejsce zaakceptowane przez Inżyniera.</w:t>
      </w:r>
    </w:p>
    <w:p w14:paraId="32F041FB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5.8. Odnowa oznakowania poziomego</w:t>
      </w:r>
    </w:p>
    <w:p w14:paraId="46200CC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Odnawianie oznakowania poziomego, wykonywanego w przypadku utraty wymagań jednej z właściwości, należy wykonać materiałem o sprawdzonej dobrej przyczepności do starej warstwy.</w:t>
      </w:r>
    </w:p>
    <w:p w14:paraId="5696286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Jako zasadę można przyjąć, że oznakowanie wykonane farbami akrylowymi, należy odnawiać także farbami akrylowymi, oznakowania grubowarstwowe wykonane masami termoplastycznymi – natryskiwanym cienką warstwą masy termoplastycznej lub farbą wodorozcieńczalną zalecaną przez producenta masy, oznakowania wykonane masami chemoutwardzalnymi – farbami chemoutwardzalnymi, natryskiwanymi masami chemoutwardzalnymi (sprayplast) lub odpowiednimi akrylowymi farbami rozpuszczalnikowymi.</w:t>
      </w:r>
    </w:p>
    <w:p w14:paraId="5998943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Ilość stosowanego do odnowienia materiału, należy dobrać w zależności od rodzaju i stanu oznakowania odnawianego, kierując się wskazówkami producenta materiału i zaleceniami Inżyniera.</w:t>
      </w:r>
    </w:p>
    <w:p w14:paraId="4D79EC0C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4" w:name="_Toc131919915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6. kontrola jakości robót</w:t>
      </w:r>
      <w:bookmarkEnd w:id="14"/>
    </w:p>
    <w:p w14:paraId="596176CD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6.1. Ogólne zasady kontroli jakości robót</w:t>
      </w:r>
    </w:p>
    <w:p w14:paraId="0B178CA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kontroli jakości robót podano w OST D-M-00.00.00 „Wymagania ogólne” pkt 6.</w:t>
      </w:r>
    </w:p>
    <w:p w14:paraId="217B0DD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6.2. Badanie przygotowania podłoża i przedznakowania</w:t>
      </w:r>
    </w:p>
    <w:p w14:paraId="08CF265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Powierzchnia jezdni przed wykonaniem znakowania poziomego musi być całkowicie czysta i sucha.</w:t>
      </w:r>
    </w:p>
    <w:p w14:paraId="0DFF59D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Przedznakowanie powinno być wykonane zgodnie z wymaganiami punktu 5.5.</w:t>
      </w:r>
    </w:p>
    <w:p w14:paraId="1825317E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 Badania wykonania oznakowania poziomego</w:t>
      </w:r>
    </w:p>
    <w:p w14:paraId="65E879B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wobec oznakowania poziomego</w:t>
      </w:r>
    </w:p>
    <w:p w14:paraId="2291BA72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6.3.1.1.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</w:t>
      </w:r>
    </w:p>
    <w:p w14:paraId="4BAA68E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Wymagania sprecyzowano przede wszystkim w celu określenia właściwości oznakowania dróg w czasie ich użytkowania. Wymagania określa się kilkoma parametrami reprezentującymi różne aspekty właściwości oznakowania dróg według PN-EN 1436:2000 [4] i PN-EN 1436:2000/A1:2005 [4a]. </w:t>
      </w:r>
    </w:p>
    <w:p w14:paraId="6387365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Badania wstępne, dla których określono pierwsze wymaganie, są wykonywane w celu kontroli przed odbiorem. Powinny być wykonane w terminie od 14 do 30 dnia po wykonaniu. Kolejne badania kontrolne należy wykonywać po okresie, od 3 do 6 miesięcy po wykonaniu i przed upływem 1 roku, oraz po 2, 3 i 4 latach dla materiałów o trwałości dłuższej niż 1 rok. </w:t>
      </w:r>
    </w:p>
    <w:p w14:paraId="553B977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Barwa żółta dotyczy tylko oznakowań tymczasowych, które także powinny być kontrolowane. Inne barwy oznakowań niż biała i żółta należy stosować zgodnie z zaleceniami zawartymi w załączniku nr 2 do rozporządzenia [7].</w:t>
      </w:r>
    </w:p>
    <w:p w14:paraId="6A2DB7F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Widzialność w dzień</w:t>
      </w:r>
    </w:p>
    <w:p w14:paraId="76F790D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Widzialność oznakowania w dzień jest określona współczynnikiem luminancji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barwą oznakowania wyrażoną współrzędnymi chromatyczności.</w:t>
      </w:r>
    </w:p>
    <w:p w14:paraId="127C699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współczynnika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nowego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w terminie od 14 do 30 dnia po wykonaniu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barwy:</w:t>
      </w:r>
    </w:p>
    <w:p w14:paraId="49EB857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asfaltowej , co najmniej 0,40, klasa B3,</w:t>
      </w:r>
    </w:p>
    <w:p w14:paraId="6B6C2E9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betonowej, co najmniej 0,50, klasa B4,</w:t>
      </w:r>
    </w:p>
    <w:p w14:paraId="304493E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0,30, klasa B2.</w:t>
      </w:r>
    </w:p>
    <w:p w14:paraId="51EAC32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Wartość współczynnika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po 30 dniu od wykonania dla całego okresu użytkowania oznakowania, barwy:</w:t>
      </w:r>
    </w:p>
    <w:p w14:paraId="364EB9B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asfaltowej , co najmniej 0,30, klasa B2,</w:t>
      </w:r>
    </w:p>
    <w:p w14:paraId="0538756F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betonowej, co najmniej 0,40, klasa B3,</w:t>
      </w:r>
    </w:p>
    <w:p w14:paraId="61FDDAC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żółtej, co najmniej 0,20 klasa B1. </w:t>
      </w:r>
    </w:p>
    <w:p w14:paraId="62BEA14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Barwa oznakowania powinna być określona wg PN-EN 1436:2000 [4] przez współrzędne chromatyczności x i y, które dla suchego oznakowania powinny leżeć w obszarze zdefiniowanym przez cztery punkty narożne podane w tablicy 1 i na wykresach (rys. 1, 2 i 3).</w:t>
      </w:r>
    </w:p>
    <w:p w14:paraId="463E790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Tablica 1. Punkty narożne obszarów chromatyczności oznakowań dróg</w:t>
      </w:r>
    </w:p>
    <w:tbl>
      <w:tblPr>
        <w:tblW w:w="7468" w:type="dxa"/>
        <w:tblCellMar>
          <w:left w:w="157" w:type="dxa"/>
          <w:right w:w="157" w:type="dxa"/>
        </w:tblCellMar>
        <w:tblLook w:val="0000" w:firstRow="0" w:lastRow="0" w:firstColumn="0" w:lastColumn="0" w:noHBand="0" w:noVBand="0"/>
      </w:tblPr>
      <w:tblGrid>
        <w:gridCol w:w="2601"/>
        <w:gridCol w:w="425"/>
        <w:gridCol w:w="1110"/>
        <w:gridCol w:w="1111"/>
        <w:gridCol w:w="1110"/>
        <w:gridCol w:w="1111"/>
      </w:tblGrid>
      <w:tr w:rsidR="00391A1C" w:rsidRPr="00391A1C" w14:paraId="476C66B6" w14:textId="77777777" w:rsidTr="004E17EB">
        <w:trPr>
          <w:trHeight w:val="398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5B6305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lastRenderedPageBreak/>
              <w:t>Punkt narożny nr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969BD9F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89C36D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BF05A7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ECADC25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4</w:t>
            </w:r>
          </w:p>
        </w:tc>
      </w:tr>
      <w:tr w:rsidR="00391A1C" w:rsidRPr="00391A1C" w14:paraId="2582E06C" w14:textId="77777777" w:rsidTr="004E17EB">
        <w:tc>
          <w:tcPr>
            <w:tcW w:w="260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4AD23EB" w14:textId="77777777" w:rsidR="00391A1C" w:rsidRPr="00391A1C" w:rsidRDefault="00391A1C" w:rsidP="00391A1C">
            <w:pPr>
              <w:tabs>
                <w:tab w:val="left" w:pos="-720"/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białe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147B30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6AB15E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0,355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C738E3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0,305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823AB45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0,285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B6E677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0,335</w:t>
            </w:r>
          </w:p>
        </w:tc>
      </w:tr>
      <w:tr w:rsidR="00391A1C" w:rsidRPr="00391A1C" w14:paraId="4518FAAE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8E8539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3DAD4B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D1E5D2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0E936E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DED090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981013A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0,375</w:t>
            </w:r>
          </w:p>
        </w:tc>
      </w:tr>
      <w:tr w:rsidR="00391A1C" w:rsidRPr="00391A1C" w14:paraId="5D9ED992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A55B6E1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żółte klasa Y1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555D57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8EC10FF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1354F8C1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3DD7D02A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B59C31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0,389</w:t>
            </w:r>
          </w:p>
        </w:tc>
      </w:tr>
      <w:tr w:rsidR="00391A1C" w:rsidRPr="00391A1C" w14:paraId="0916073C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20D8C0F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CC2E301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B8B891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0,399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317D8A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4DF64A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24EFF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0,431</w:t>
            </w:r>
          </w:p>
        </w:tc>
      </w:tr>
      <w:tr w:rsidR="00391A1C" w:rsidRPr="00391A1C" w14:paraId="200F0857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D2046F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żółte klasa Y2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0289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2B434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0,494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37E5F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7DFB9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F2A97D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0,427</w:t>
            </w:r>
          </w:p>
        </w:tc>
      </w:tr>
      <w:tr w:rsidR="00391A1C" w:rsidRPr="00391A1C" w14:paraId="19CFF57B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BBFBC2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5A2407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C9011D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E091B3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E65794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0,535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EA551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0,483</w:t>
            </w:r>
          </w:p>
        </w:tc>
      </w:tr>
      <w:tr w:rsidR="00391A1C" w:rsidRPr="00391A1C" w14:paraId="408DDFF7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A092F2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czerwone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D6298E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3A8F9B9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325013D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0,530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45161D3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7C6B6EF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0,655</w:t>
            </w:r>
          </w:p>
        </w:tc>
      </w:tr>
      <w:tr w:rsidR="00391A1C" w:rsidRPr="00391A1C" w14:paraId="62BEBD06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5CA8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DC7F8B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B9E0DA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97E92D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7D40D8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D18FD6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0,345</w:t>
            </w:r>
          </w:p>
        </w:tc>
      </w:tr>
      <w:tr w:rsidR="00391A1C" w:rsidRPr="00391A1C" w14:paraId="5D73A868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4A667023" w14:textId="77777777" w:rsidR="00391A1C" w:rsidRPr="00391A1C" w:rsidRDefault="00391A1C" w:rsidP="00391A1C">
            <w:pPr>
              <w:tabs>
                <w:tab w:val="left" w:pos="-720"/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niebieskie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6E8CA34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BA1FE6A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0,078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0A9F3F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300FAD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A3AEB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0,137</w:t>
            </w:r>
          </w:p>
        </w:tc>
      </w:tr>
      <w:tr w:rsidR="00391A1C" w:rsidRPr="00391A1C" w14:paraId="73607388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10818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9454F5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302754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0,171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05A247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D35FD3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B400DD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0,038</w:t>
            </w:r>
          </w:p>
        </w:tc>
      </w:tr>
    </w:tbl>
    <w:p w14:paraId="563D149A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004C3CE1" w14:textId="13880A3C" w:rsidR="00391A1C" w:rsidRPr="00391A1C" w:rsidRDefault="00391A1C" w:rsidP="007E1FC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577C19B" wp14:editId="1A323781">
            <wp:extent cx="6457950" cy="4743450"/>
            <wp:effectExtent l="0" t="0" r="0" b="0"/>
            <wp:docPr id="2" name="Obraz 2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2A8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Rys. 1. Współrzędne chromatyczności x,y dla barwy białej oznakowania</w:t>
      </w:r>
    </w:p>
    <w:p w14:paraId="2515408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8A8E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54E09A" w14:textId="60322A33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E4B3A23" wp14:editId="3CD205B8">
            <wp:extent cx="6286500" cy="4057650"/>
            <wp:effectExtent l="0" t="0" r="0" b="0"/>
            <wp:docPr id="1" name="Obraz 1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4FF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Rys.2. Współrzędne chromatyczności x,y dla barwy żółtej oznakowania</w:t>
      </w:r>
    </w:p>
    <w:p w14:paraId="03BD45F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310399" w14:textId="359CFC04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2C885A" wp14:editId="6BE46FAC">
            <wp:simplePos x="0" y="0"/>
            <wp:positionH relativeFrom="column">
              <wp:posOffset>-46355</wp:posOffset>
            </wp:positionH>
            <wp:positionV relativeFrom="paragraph">
              <wp:posOffset>-5902325</wp:posOffset>
            </wp:positionV>
            <wp:extent cx="5076825" cy="43078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0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3BE46" w14:textId="77777777" w:rsidR="00391A1C" w:rsidRPr="00391A1C" w:rsidRDefault="00391A1C" w:rsidP="00391A1C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Rys. 3. Granice barw białej, żółtej, czerwonej, niebieskiej i zielonej oznakowania</w:t>
      </w:r>
    </w:p>
    <w:p w14:paraId="1B877E64" w14:textId="77777777" w:rsidR="00391A1C" w:rsidRPr="00391A1C" w:rsidRDefault="00391A1C" w:rsidP="00391A1C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</w:p>
    <w:p w14:paraId="3808789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 xml:space="preserve">Pomiar współczynnika luminancji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zastąpiony pomiarem współczynnika luminancji w świetle rozproszonym Qd, wg PN-EN 1436:2000 [4] lub wg POD-97 [9] i POD-2006 (po wydaniu) [10].</w:t>
      </w:r>
    </w:p>
    <w:p w14:paraId="38068CB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określenia odbicia światła dziennego lub odbicia oświetlenia drogi od oznakowania stosuje się współczynnik luminancji w świetle rozproszonym Qd. </w:t>
      </w:r>
    </w:p>
    <w:p w14:paraId="6E516F9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Qd dla oznakowania nowego w ciągu 14 - 30 dni po wykonaniu powinna wynosić dla oznakowania świeżego, barwy:</w:t>
      </w:r>
    </w:p>
    <w:p w14:paraId="4532102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130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(nawierzchnie asfaltowe), klasa Q3,</w:t>
      </w:r>
    </w:p>
    <w:p w14:paraId="2CA17E9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160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(nawierzchnie betonowe), klasa Q4,</w:t>
      </w:r>
    </w:p>
    <w:p w14:paraId="4A82D82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100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), klasa Q2,</w:t>
      </w:r>
    </w:p>
    <w:p w14:paraId="18AA18F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Qd powinna wynosić dla oznakowania eksploatowanego po 30 dniu od wykonania, w ciągu całego okresu użytkowania,  barwy:</w:t>
      </w:r>
    </w:p>
    <w:p w14:paraId="508CB7A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100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(nawierzchnie asfaltowe), klasa Q2,</w:t>
      </w:r>
    </w:p>
    <w:p w14:paraId="416EB8D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130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(nawierzchnie betonowe), klasa Q3,</w:t>
      </w:r>
    </w:p>
    <w:p w14:paraId="4FB6FAC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80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Q1.</w:t>
      </w:r>
    </w:p>
    <w:p w14:paraId="39BEC3B6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6.3.1.3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Widzialność w nocy</w:t>
      </w:r>
    </w:p>
    <w:p w14:paraId="6666F1C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 miarę widzialności w nocy przyjęto powierzchniowy współczynnik odblasku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określany według PN-EN 1436:2000 [4] z uwzględnieniem podziału na klasy PN-EN 1436:2000/A1:2005 [4a].</w:t>
      </w:r>
    </w:p>
    <w:p w14:paraId="16568F9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nowego (w stanie suchym) w ciągu 14 - 30 dni po wykonaniu, barwy:</w:t>
      </w:r>
    </w:p>
    <w:p w14:paraId="11CFC9C9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250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R4/5,</w:t>
      </w:r>
    </w:p>
    <w:p w14:paraId="6B7CD864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200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R4,</w:t>
      </w:r>
    </w:p>
    <w:p w14:paraId="2F867342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R3,</w:t>
      </w:r>
    </w:p>
    <w:p w14:paraId="5400796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eksploatowanego w ciągu od 2 do 6 miesięcy po wykonaniu,  barwy:</w:t>
      </w:r>
    </w:p>
    <w:p w14:paraId="313F2B42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200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R4,</w:t>
      </w:r>
    </w:p>
    <w:p w14:paraId="5F6B4297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R3</w:t>
      </w:r>
    </w:p>
    <w:p w14:paraId="30E67CDD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R2.</w:t>
      </w:r>
    </w:p>
    <w:p w14:paraId="1550F43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eksploatowanego od 7 miesiąca po wykonaniu,  barwy:</w:t>
      </w:r>
    </w:p>
    <w:p w14:paraId="5DB6ACB6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R3,</w:t>
      </w:r>
    </w:p>
    <w:p w14:paraId="440CB92E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R2,</w:t>
      </w:r>
    </w:p>
    <w:p w14:paraId="3728E53D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R2.</w:t>
      </w:r>
    </w:p>
    <w:p w14:paraId="36EF329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o grubej makroteksturze, takich jak: powierzchniowe utrwalanie oraz na nawierzchniach niejednorodnych można wyjątkowo, tylko na drogach określonych w tablicy 5, dopuścić wartość współczynnika odblasku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70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R1 dla oznakowania cienkowarstwowego eksploatowanego od 6 miesiąca po wykonaniu.</w:t>
      </w:r>
    </w:p>
    <w:p w14:paraId="1174DE7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nowych lub odnowionych z warstwą ścieralną z SMA zaleca się stosować materiały grubowarstwowe.</w:t>
      </w:r>
    </w:p>
    <w:p w14:paraId="4B874EA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szczególnie uzasadnionych przypadkach możliwe jest ustalenie w SST wyższych klas wymagań wg PN-EN 1436:2000/A1:2005 [4a].</w:t>
      </w:r>
    </w:p>
    <w:p w14:paraId="20E0305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profilowanego, nowego (w stanie wilgotnym) i eksploatowanego w okresie gwarancji wg PN-EN 1436:2000 [4] zmierzona od 14 do 30 dni po wykonaniu, barwy:</w:t>
      </w:r>
    </w:p>
    <w:p w14:paraId="53AB0F69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klasa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RW3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47B0383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eksploatacji co najmniej 35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klasa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RW2.</w:t>
      </w:r>
    </w:p>
    <w:p w14:paraId="5E42A6A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Powyższe wymaganie dotyczy jedynie oznakowań profilowanych, takich jak oznakowanie strukturalne wykonywane masami termoplastycznymi, masami chemoutwardzalnymi i taśmami w postaci np. poprzecznych wygarbień (baretek), drop-on-line, itp.</w:t>
      </w:r>
    </w:p>
    <w:p w14:paraId="3E0074B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Wykonywanie pomiarów na oznakowaniu ciągłym z naniesionymi wygarbieniami może być wykonywane tylko metoda dynamiczną. Pomiar aparatami ręcznymi jest albo niemożliwy albo obciążony dużym błędem.</w:t>
      </w:r>
    </w:p>
    <w:p w14:paraId="328A69B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Wykonywanie pomiarów odblaskowości na pozostałych typach oznakowania strukturalnego, z uwagi na jego niecałkowite i niejednorodne pokrycie powierzchni oznakowania, jest obarczone większym błędem niż na oznakowaniach pełnych. Dlatego podczas odbioru czy kontroli, należy przyjąć jako dopuszczalne wartości współczynnika odblasku o 20 % niższe od przyjętych w SST.</w:t>
      </w:r>
    </w:p>
    <w:p w14:paraId="03069E80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6.3.1.4.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Szorstkość oznakowania</w:t>
      </w:r>
    </w:p>
    <w:p w14:paraId="2FFB422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Miarą szorstkości oznakowania jest wartość wskaźnika szorstkości SRT (Skid Resistance Tester) mierzona wahadłem angielskim, wg PN-EN 1436:2000 [4] lub POD-97 [9] i POD-2006 (po wydaniu) [10].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ProductID" w:val="5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mokrej nawierzchni.</w:t>
      </w:r>
    </w:p>
    <w:p w14:paraId="5524DD9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 się, aby wartość wskaźnika szorstkości SRT wynosiła na oznakowaniu:</w:t>
      </w:r>
    </w:p>
    <w:p w14:paraId="025575B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całego okresu użytkowania, co najmniej 45 jednostek SRT (klasa S1).</w:t>
      </w:r>
    </w:p>
    <w:p w14:paraId="2390FBF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Dopuszcza się podwyższenie w SST wymagania szorstkości do 50 – 60 jednostek SRT (klasy S2 – S3), w uzasadnionych przypadkach. Uzyskanie większej szorstkości oznakowania, wiąże się z zastosowaniem kruszywa przeciwpoślizgowego samego lub w mieszaninie z kulkami szklanymi wg PN-EN 1423:2001 [3]. Należy przy tym wziąć pod uwagę jednoczesne obniżenie wartości współczynnika luminancji i współczynnika odblasku.</w:t>
      </w:r>
    </w:p>
    <w:p w14:paraId="0C1F057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Szorstkość oznakowania, na którym nie zastosowano kruszywa przeciwpoślizgowego, zazwyczaj wzrasta w okresie eksploatacji oznakowania, dlatego nie należy wymagać wyższej jego wartości na starcie, a niższej w okresie gwarancji.</w:t>
      </w:r>
    </w:p>
    <w:p w14:paraId="1D21120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Wykonywanie pomiarów wskaźnika szorstkości SRT dotyczy oznakowań jednolitych, płaskich, wykonanych farbami, masami termoplastycznymi, masami chemoutwardzalnymi i taśmami. Pomiar na oznakowaniu strukturalnym jest, jeśli możliwy, to nie miarodajny. W przypadku oznakowania z wygarbieniami i punktowymi elementami odblaskowymi pomiar nie jest możliwy.</w:t>
      </w:r>
    </w:p>
    <w:p w14:paraId="18BC623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 Wskaźnik szorstkości SRT w normach powierzchniowych został nazwany PTV (Polishing Test Value) za PN-EN 13 036-4:2004(U)[6a]. Metoda pomiaru i sprzęt do jego wykonania są identyczne z przyjętymi w PN-EN 1436:2000[4] dla oznakowań poziomych.</w:t>
      </w:r>
    </w:p>
    <w:p w14:paraId="0E0FC3A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6.3.1.5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Trwałość oznakowania</w:t>
      </w:r>
    </w:p>
    <w:p w14:paraId="0DD0921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Trwałość oznakowania cienkowarstwowego oceniana jako stopień zużycia w 10-stopniowej skali LCPC określonej w POD-97 [9] lub POD-2006 (po wydaniu) [10] powinna wynosić po 12-miesięcznym okresie eksploatacji oznakowania: co najmniej 6.</w:t>
      </w:r>
    </w:p>
    <w:p w14:paraId="1581425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Taka metoda oceny znajduje szczególnie zastosowanie do oceny przydatności materiałów do poziomego oznakowania dróg.</w:t>
      </w:r>
    </w:p>
    <w:p w14:paraId="1ADAD01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stosunku do materiałów grubowarstwowych i taśm ocena ta jest stosowana dopiero po 2, 3, 4, 5 i 6 latach, gdy w oznakowaniu pojawiają się przetarcia do nawierzchni. Do oceny materiałów strukturalnych, o nieciągłym pokryciu nawierzchni metody tej nie stosuje się.</w:t>
      </w:r>
    </w:p>
    <w:p w14:paraId="576E871B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celach kontrolnych trwałość jest oceniana pośrednio przez sprawdzenie spełniania wymagań widoczności w dzień, w nocy i szorstkości.</w:t>
      </w:r>
    </w:p>
    <w:p w14:paraId="4641F4D8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6.3.1.6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Czas schnięcia oznakowania (względnie czas do przejezdności oznakowania)</w:t>
      </w:r>
    </w:p>
    <w:p w14:paraId="6B5ADABB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 czas schnięcia oznakowania przyjmuje się czas upływający między wykonaniem oznakowania a jego oddaniem do ruchu.</w:t>
      </w:r>
    </w:p>
    <w:p w14:paraId="1786371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Czas schnięcia oznakowania nie powinien przekraczać czasu gwarantowanego przez producenta, z tym że nie może przekraczać 2 godzin w przypadku wymalowań nocnych i 1 godziny w przypadku wymalowań dziennych. Metoda oznaczenia czasu schnięcia znajduje się w POD-97 [9] lub POD-2006 (po wydaniu) [10].</w:t>
      </w:r>
    </w:p>
    <w:p w14:paraId="12FC2A4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6.3.1.7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Grubość oznakowania</w:t>
      </w:r>
    </w:p>
    <w:p w14:paraId="6EEE8CC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Grubość oznakowania, tj. podwyższenie ponad górną powierzchnię nawierzchni, powinna wynosić dla:</w:t>
      </w:r>
    </w:p>
    <w:p w14:paraId="509AB356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oznakowania cienkowarstwowego (grubość na mokro bez kulek szklanych), co najwyżej </w:t>
      </w:r>
      <w:smartTag w:uri="urn:schemas-microsoft-com:office:smarttags" w:element="metricconverter">
        <w:smartTagPr>
          <w:attr w:name="ProductID" w:val="0,89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DEC162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oznakowania grubowarstwowego, co najmniej </w:t>
      </w:r>
      <w:smartTag w:uri="urn:schemas-microsoft-com:office:smarttags" w:element="metricconverter">
        <w:smartTagPr>
          <w:attr w:name="ProductID" w:val="0,9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co najwyżej </w:t>
      </w:r>
      <w:smartTag w:uri="urn:schemas-microsoft-com:office:smarttags" w:element="metricconverter">
        <w:smartTagPr>
          <w:attr w:name="ProductID" w:val="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1ADAFF5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punktowych elementów odblaskowych umieszczanych na części jezdnej drogi, co najwyżej </w:t>
      </w:r>
      <w:smartTag w:uri="urn:schemas-microsoft-com:office:smarttags" w:element="metricconverter">
        <w:smartTagPr>
          <w:attr w:name="ProductID" w:val="1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ProductID" w:val="2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F441E4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te nie obowiązują, jeśli nawierzchnia pod znakowaniem jest wyfrezowana.</w:t>
      </w:r>
    </w:p>
    <w:p w14:paraId="434B30B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grubości oznakowania jest istotna w przypadku, gdy Wykonawca nie udziela gwarancji lub gdy nie są wykonywane pomiary kontrolne za pomocą aparatury lub poprzez ocenę wizualną.</w:t>
      </w:r>
    </w:p>
    <w:p w14:paraId="36988D8F" w14:textId="77777777" w:rsidR="00391A1C" w:rsidRPr="00391A1C" w:rsidRDefault="00391A1C" w:rsidP="00391A1C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6.3.2.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wykonania znakowania poziomego z materiału cienkowarstwowego lub grubowarstwowego</w:t>
      </w:r>
    </w:p>
    <w:p w14:paraId="157B7FD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14:paraId="3DE338B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rozpoczęciem pracy:</w:t>
      </w:r>
    </w:p>
    <w:p w14:paraId="51046CE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oznakowania opakowań,</w:t>
      </w:r>
    </w:p>
    <w:p w14:paraId="31D27CE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stanu  materiału, w zakresie jego jednorodności i widocznych wad,</w:t>
      </w:r>
    </w:p>
    <w:p w14:paraId="730EC9D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wilgotności względnej powietrza,</w:t>
      </w:r>
    </w:p>
    <w:p w14:paraId="1961223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temperatury powietrza i nawierzchni,</w:t>
      </w:r>
    </w:p>
    <w:p w14:paraId="3E6AFA0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badanie lepkości farby, wg POD-97 [9] lub POD-2006 (po wydaniu) [10],</w:t>
      </w:r>
    </w:p>
    <w:p w14:paraId="29072BD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czasie wykonywania pracy:</w:t>
      </w:r>
    </w:p>
    <w:p w14:paraId="1329F1F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grubości warstwy oznakowania,</w:t>
      </w:r>
    </w:p>
    <w:p w14:paraId="4B35155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czasu schnięcia, wg POD-97 [9] lub POD-2006 (po wydaniu) [10],</w:t>
      </w:r>
    </w:p>
    <w:p w14:paraId="4E802DF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równomierności rozłożenia kulek szklanych podczas objazdu w nocy,</w:t>
      </w:r>
    </w:p>
    <w:p w14:paraId="2670B05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poziomych wymiarów oznakowania, na zgodność z dokumentacją projektową i załącznikiem nr 2 do rozporządzenia Ministra Infrastruktury [7],</w:t>
      </w:r>
    </w:p>
    <w:p w14:paraId="4C295E8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równomierności skropienia (rozłożenia materiału) na całej szerokości linii,</w:t>
      </w:r>
    </w:p>
    <w:p w14:paraId="6A1D57D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czasu przejezdności, wg POD-97 [9] lub POD-2006 (po wydaniu) [10].</w:t>
      </w:r>
    </w:p>
    <w:p w14:paraId="02BF75F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Protokół z przeprowadzonych badań wraz z jedną próbką, jednoznacznie oznakowaną, na blasze (300 x 250 x </w:t>
      </w:r>
      <w:smartTag w:uri="urn:schemas-microsoft-com:office:smarttags" w:element="metricconverter">
        <w:smartTagPr>
          <w:attr w:name="ProductID" w:val="1,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1,5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) Wykonawca powinien przechować do czasu upływu okresu gwarancji.</w:t>
      </w:r>
    </w:p>
    <w:p w14:paraId="061CB08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odbioru i w przypadku wątpliwości dotyczących wykonania oznakowania poziomego, Inżynier może zlecić wykonanie badań:</w:t>
      </w:r>
    </w:p>
    <w:p w14:paraId="15AC652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widzialności w nocy,</w:t>
      </w:r>
    </w:p>
    <w:p w14:paraId="11B0CE7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widzialności w dzień,</w:t>
      </w:r>
    </w:p>
    <w:p w14:paraId="46EE79BF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szorstkości,</w:t>
      </w:r>
    </w:p>
    <w:p w14:paraId="45C17EE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odpowiadających wymaganiom podanym w punkcie 6.3.1 i wykonanych według metod określonych w Warunkach technicznych POD-97 [9] lub POD-2006 (po wydaniu) [10]. Jeżeli wyniki tych badań wykażą wadliwość wykonanego oznakowania to koszt badań ponosi Wykonawca, w przypadku przeciwnym - Zamawiający. Badania powinien zlecać Zamawiający do niezależnego laboratorium badawczego, co gwarantuje większa wiarygodność wyników.</w:t>
      </w:r>
    </w:p>
    <w:p w14:paraId="2B2E0BE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konieczności wykonywania pomiarów na otwartych do ruchu odcinkach dróg o dopuszczalnej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ograniczyć je do linii krawędziowych zewnętrznych w przypadku wykonywania pomiarów aparatami ręcznymi, ze względu na bezpieczeństwo wykonujących pomiary.</w:t>
      </w:r>
    </w:p>
    <w:p w14:paraId="208C832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Pomiary współczynnika odblasku na liniach segregacyjnych i krawędziowych wewnętrznych, na otwartych do ruchu odcinkach dróg o dopuszczalnej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 także na liniach podłużnych oznakowań z wygarbieniami, należy wykonywać przy użyciu mobilnego reflektometru zainstalowanego na samochodzie i wykonującego pomiary w ruchu.</w:t>
      </w:r>
    </w:p>
    <w:p w14:paraId="499032E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wykonywania pomiarów współczynnika odblaskowości i współczynników luminancji aparatami ręcznymi częstotliwość pomiarów należy dostosować do długości badanego odcinka, zgodnie z tablicą 2. W każdym z mierzonych punktów należy wykonać po 5 odczytów współczynnika odblasku i po 3 odczyty współczynników luminancji w odległości jeden od drugiego minimum </w:t>
      </w:r>
      <w:smartTag w:uri="urn:schemas-microsoft-com:office:smarttags" w:element="metricconverter">
        <w:smartTagPr>
          <w:attr w:name="ProductID" w:val="1 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BFDA98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D5E53B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Tablica 2. Częstotliwość pomiarów współczynników odblaskowości i luminancji aparatami ręcznymi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2126"/>
        <w:gridCol w:w="1559"/>
      </w:tblGrid>
      <w:tr w:rsidR="00391A1C" w:rsidRPr="00391A1C" w14:paraId="3D3D8441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CC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897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odcinka,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EA7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Częstotliwość pomiarów, co najmniej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BE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Minimalna ilość pomiarów</w:t>
            </w:r>
          </w:p>
        </w:tc>
      </w:tr>
      <w:tr w:rsidR="00391A1C" w:rsidRPr="00391A1C" w14:paraId="1135ED48" w14:textId="77777777" w:rsidTr="004E17EB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905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8A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do 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91E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0,1 do </w:t>
            </w:r>
            <w:smartTag w:uri="urn:schemas-microsoft-com:office:smarttags" w:element="metricconverter">
              <w:smartTagPr>
                <w:attr w:name="ProductID" w:val="0,5 km"/>
                <w:attr w:name="st" w:val="on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0,5 km</w:t>
              </w:r>
            </w:smartTag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D1E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3-6</w:t>
            </w:r>
          </w:p>
        </w:tc>
      </w:tr>
      <w:tr w:rsidR="00391A1C" w:rsidRPr="00391A1C" w14:paraId="0774E438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8C8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87F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 – do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94D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ProductID" w:val="1 km"/>
                <w:attr w:name="st" w:val="on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716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69D857DF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F88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52F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 do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102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 km"/>
                <w:attr w:name="st" w:val="on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292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4668F309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EC8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4A0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20 do 30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289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ProductID" w:val="3 km"/>
                <w:attr w:name="st" w:val="on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3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DDD1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27E00E78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750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DEA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F84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ProductID" w:val="4 km"/>
                <w:attr w:name="st" w:val="on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4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305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 11</w:t>
            </w:r>
          </w:p>
        </w:tc>
      </w:tr>
    </w:tbl>
    <w:p w14:paraId="5997CB4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5EAA7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wskaźnika szorstkości zaleca się oznaczyć w 2 – 4 punktach oznakowania odcinka.</w:t>
      </w:r>
    </w:p>
    <w:p w14:paraId="5DBEE6E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wykonania oznakowania poziomego z zastosowaniem punktowych elementów odblaskowych</w:t>
      </w:r>
    </w:p>
    <w:p w14:paraId="7FAE25C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Wykonawca wykonując oznakowanie z prefabrykowanych elementów odblaskowych przeprowadza, co najmniej raz dziennie lub zgodnie z ustaleniem SST, następujące badania:</w:t>
      </w:r>
    </w:p>
    <w:p w14:paraId="56EC440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oznakowania opakowań,</w:t>
      </w:r>
    </w:p>
    <w:p w14:paraId="40FA500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rodzaju stosowanego kleju lub innych elementów mocujących, zgodnie z zaleceniami SST,</w:t>
      </w:r>
    </w:p>
    <w:p w14:paraId="5DDDF39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stanu elementów, w zakresie ich kompletności i braku wad,</w:t>
      </w:r>
    </w:p>
    <w:p w14:paraId="26D5CA4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temperatury powietrza i nawierzchni,</w:t>
      </w:r>
    </w:p>
    <w:p w14:paraId="72BE065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pomiaru czasu oddania do ruchu,</w:t>
      </w:r>
    </w:p>
    <w:p w14:paraId="7F0738A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liniowości i kierunkowości przyklejenia elementów,</w:t>
      </w:r>
    </w:p>
    <w:p w14:paraId="5315969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równomierności przyklejenia elementów na całej długości linii,</w:t>
      </w:r>
    </w:p>
    <w:p w14:paraId="7E40028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zgodności wykonania oznakowania z dokumentacja projektową i załącznikiem nr 2 do rozporządzenia Ministra Infrastruktury z 3 lipca 2003 r. [7].</w:t>
      </w:r>
    </w:p>
    <w:p w14:paraId="78AE4B7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 przeprowadzonych badań wraz z próbkami przyklejonych elementów, w liczbie określonej w SST, Wykonawca przechowuje do czasu upływu okresu gwarancji.</w:t>
      </w:r>
    </w:p>
    <w:p w14:paraId="5192CED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wątpliwości dotyczących wykonania oznakowania poziomego Inżynier może zlecić wykonanie badań widzialności w nocy, na próbkach zdjętych z nawierzchni i dostarczonych do laboratorium, na zgodność z wymaganiami podanymi w SST lub aprobacie technicznej, wykonanych według metod określonych w PN-EN 1463-1[5] lub w Warunkach technicznych POD-97 [9] lub POD-2006 (po wydaniu) [10]. Jeśli wyniki tych badań wykażą wadliwość wykonanego oznakowania to koszt badań ponosi Wykonawca, w przypadku przeciwnym - Zamawiający.</w:t>
      </w:r>
    </w:p>
    <w:p w14:paraId="0816765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Zbiorcze zestawienie wymagań dla materiałów i oznakowań</w:t>
      </w:r>
    </w:p>
    <w:p w14:paraId="60C58AD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tablicy 3 podano zbiorcze zestawienie dla materiałów. W tablicy 4 podano zbiorcze zestawienie dla oznakowań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2 500 pojazdów rzeczywistych na dobę na pas. W tablicy 5 podano zbiorcze zestawienie dla oznakowań na pozostałych drogach.</w:t>
      </w:r>
    </w:p>
    <w:p w14:paraId="156D3C25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A91496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Tablica 3.   Zbiorcze zestawienie wymagań dla materiałów</w:t>
      </w:r>
    </w:p>
    <w:tbl>
      <w:tblPr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2196"/>
      </w:tblGrid>
      <w:tr w:rsidR="00391A1C" w:rsidRPr="00391A1C" w14:paraId="42215B7F" w14:textId="77777777" w:rsidTr="004E17EB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7A5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FA4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745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4C2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391A1C" w:rsidRPr="00391A1C" w14:paraId="62B7E3B3" w14:textId="77777777" w:rsidTr="004E17EB"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DD1F" w14:textId="77777777" w:rsidR="00391A1C" w:rsidRPr="00391A1C" w:rsidRDefault="00391A1C" w:rsidP="00391A1C">
            <w:pPr>
              <w:numPr>
                <w:ilvl w:val="0"/>
                <w:numId w:val="46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BAC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Zawartość składników lotnych w materiałach do znakowania</w:t>
            </w:r>
          </w:p>
          <w:p w14:paraId="5B13B623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rozpuszczalników organicznych</w:t>
            </w:r>
          </w:p>
          <w:p w14:paraId="1E3F3AC1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rozpuszczalników aromatycznych</w:t>
            </w:r>
          </w:p>
          <w:p w14:paraId="7ABDB00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16623E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benzenu i rozpuszczalników chlorowanych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C7C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D4F72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1ACB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  <w:p w14:paraId="6BEF14F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  <w:p w14:paraId="4E0424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EA6B6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A2A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B043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1E5FA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  <w:p w14:paraId="2747FB8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</w:p>
          <w:p w14:paraId="0F8877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5987B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91A1C" w:rsidRPr="00391A1C" w14:paraId="6656B274" w14:textId="77777777" w:rsidTr="004E17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25AA" w14:textId="77777777" w:rsidR="00391A1C" w:rsidRPr="00391A1C" w:rsidRDefault="00391A1C" w:rsidP="00391A1C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D5A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Właściwości kulek szklanych </w:t>
            </w:r>
          </w:p>
          <w:p w14:paraId="4A7E55C4" w14:textId="77777777" w:rsidR="00391A1C" w:rsidRPr="00391A1C" w:rsidRDefault="00391A1C" w:rsidP="00391A1C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załamania światła</w:t>
            </w:r>
          </w:p>
          <w:p w14:paraId="6BAD2D39" w14:textId="77777777" w:rsidR="00391A1C" w:rsidRPr="00391A1C" w:rsidRDefault="00391A1C" w:rsidP="00391A1C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zawartość kulek z defektami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C88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9702A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744E498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10C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5917B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1,5</w:t>
            </w:r>
          </w:p>
          <w:p w14:paraId="45EE699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391A1C" w:rsidRPr="00391A1C" w14:paraId="49B3E6DD" w14:textId="77777777" w:rsidTr="004E17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071A" w14:textId="77777777" w:rsidR="00391A1C" w:rsidRPr="00391A1C" w:rsidRDefault="00391A1C" w:rsidP="00391A1C">
            <w:pPr>
              <w:numPr>
                <w:ilvl w:val="0"/>
                <w:numId w:val="46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26B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stałości właściwości materiałów do znakowania przy składowaniu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3419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4B2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</w:tr>
    </w:tbl>
    <w:p w14:paraId="15AC76C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5505D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Zbiorcze zestawienie wymagań dla oznakowań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0 km/h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2 500 pojazdów rzeczywistych na dobę na pas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391A1C" w:rsidRPr="00391A1C" w14:paraId="4F7A68BA" w14:textId="77777777" w:rsidTr="004E17EB"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CCB06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398A0A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158382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0700CF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5AE017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391A1C" w:rsidRPr="00391A1C" w14:paraId="33FC206A" w14:textId="77777777" w:rsidTr="004E17EB">
        <w:trPr>
          <w:cantSplit/>
        </w:trPr>
        <w:tc>
          <w:tcPr>
            <w:tcW w:w="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107A2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12A975C" w14:textId="407C5F7D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nowego (w ciągu 14 - 30 dni po wykonaniu) w stanie suchym barwy:    </w:t>
            </w:r>
          </w:p>
          <w:p w14:paraId="39FD8DEC" w14:textId="77777777" w:rsidR="00391A1C" w:rsidRPr="00391A1C" w:rsidRDefault="00391A1C" w:rsidP="00391A1C">
            <w:pPr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</w:t>
            </w:r>
          </w:p>
          <w:p w14:paraId="4F3A66FB" w14:textId="77777777" w:rsidR="00391A1C" w:rsidRPr="00391A1C" w:rsidRDefault="00391A1C" w:rsidP="00391A1C">
            <w:pPr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 tymczasowej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8D99A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4B854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452C8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C9AC7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44EAAD1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FE62D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22504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6FB2C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2957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</w:t>
            </w:r>
          </w:p>
          <w:p w14:paraId="27127F5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AC28F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AD397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8275F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F4D94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R4/5</w:t>
            </w:r>
          </w:p>
          <w:p w14:paraId="054144E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0DDF0D9F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74509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444850" w14:textId="4AF88260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suchego w okresie od 1 do 6 miesięcy po wykonaniu, barwy: </w:t>
            </w:r>
          </w:p>
          <w:p w14:paraId="5596D2EB" w14:textId="77777777" w:rsidR="00391A1C" w:rsidRPr="00391A1C" w:rsidRDefault="00391A1C" w:rsidP="00391A1C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</w:t>
            </w:r>
          </w:p>
          <w:p w14:paraId="16266182" w14:textId="77777777" w:rsidR="00391A1C" w:rsidRPr="00391A1C" w:rsidRDefault="00391A1C" w:rsidP="00391A1C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776D6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ADC71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BB84B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DE2AC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001C022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D8ADD7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0106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6126C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19ED2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</w:p>
          <w:p w14:paraId="2EAB95A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99397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3EE94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88B24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2BDA9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  <w:p w14:paraId="5C6E487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2CB11973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1A411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73ED469" w14:textId="72CB9EC1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suchego od 7 miesiąca po wykonaniu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67929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E970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48C8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755C5490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12A1FF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819936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grubowarstwowego strukturalnego oznako-wania wilgotnego od 14 do 30 dnia po wykonaniu,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39EC7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3103E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F354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RW3</w:t>
            </w:r>
          </w:p>
        </w:tc>
      </w:tr>
      <w:tr w:rsidR="00391A1C" w:rsidRPr="00391A1C" w14:paraId="3251043F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24FBB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DA835D" w14:textId="6CB263AC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rstwowego strukturalnego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po 30 dniu od wykonania,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EE4A7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AAD21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4A1AD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F562C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1DB6C0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CCD69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RW2</w:t>
            </w:r>
          </w:p>
        </w:tc>
      </w:tr>
      <w:tr w:rsidR="00391A1C" w:rsidRPr="00391A1C" w14:paraId="5A2EED57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1CB0D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CB9EF2C" w14:textId="52A22866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nowego (od 14 do 30 dnia po wykonaniu)  barwy:</w:t>
            </w:r>
          </w:p>
          <w:p w14:paraId="54191924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61E64FB8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5B8D3749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żółtej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38EC58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BEBD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341E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9396C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500D218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22CCC0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148E8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1BC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104EE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AEEB8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688F439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0,50</w:t>
            </w:r>
          </w:p>
          <w:p w14:paraId="5B20904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4BFC3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18811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1CE31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3FADF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2901855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B4</w:t>
            </w:r>
          </w:p>
          <w:p w14:paraId="3A6545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</w:tc>
      </w:tr>
      <w:tr w:rsidR="00391A1C" w:rsidRPr="00391A1C" w14:paraId="02D1EDE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54073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A66077" w14:textId="128C62ED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eksploatowanego (po 30 dniu od wykonania) barwy:</w:t>
            </w:r>
          </w:p>
          <w:p w14:paraId="70CF7CA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 na nawierzchni asfaltowej</w:t>
            </w:r>
          </w:p>
          <w:p w14:paraId="62ED570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 na nawierzchni betonowej</w:t>
            </w:r>
          </w:p>
          <w:p w14:paraId="46306AE7" w14:textId="77777777" w:rsidR="00391A1C" w:rsidRPr="00391A1C" w:rsidRDefault="00391A1C" w:rsidP="00391A1C">
            <w:pPr>
              <w:numPr>
                <w:ilvl w:val="12"/>
                <w:numId w:val="0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żółtej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82051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09659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8C55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BFFB0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720D4CD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34AFC5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BFCD8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3D97A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EFD52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4FA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  <w:p w14:paraId="198D368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59729A8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CA049E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3FD04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24FCF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09882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  <w:p w14:paraId="15B8A2F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674FFE0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B1</w:t>
            </w:r>
          </w:p>
        </w:tc>
      </w:tr>
      <w:tr w:rsidR="00391A1C" w:rsidRPr="00391A1C" w14:paraId="64E9D448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A14F3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692B6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nowego w ciągu od 14 do 30  dnia po wykonaniu, barwy:</w:t>
            </w:r>
          </w:p>
          <w:p w14:paraId="42B2FC43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67847B1E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60741380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01CFB0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D71A1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113A2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EFBFE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A2F34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7A5C31F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3DF52FD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3908A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0C9A7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EDE3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EFAE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D4D1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130</w:t>
            </w:r>
          </w:p>
          <w:p w14:paraId="495312D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160</w:t>
            </w:r>
          </w:p>
          <w:p w14:paraId="1306B7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3C6B47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906873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0A7DE2C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A70F28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A15453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1D0E1C5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Q4</w:t>
            </w:r>
          </w:p>
          <w:p w14:paraId="4161EDB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</w:tc>
      </w:tr>
      <w:tr w:rsidR="00391A1C" w:rsidRPr="00391A1C" w14:paraId="1423B64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81B49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F99D9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eksploatowanego w ciągu całego okresu eksploatacji po 30 dniu od wykonania,  barwy:</w:t>
            </w:r>
          </w:p>
          <w:p w14:paraId="261F34DF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163C1D77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1B431887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10B2A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A2B90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A17E9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82250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D40E0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C20F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4EF9F44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661C4ED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0A385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1F78E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6F25D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0A973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58267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C7BAD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100</w:t>
            </w:r>
          </w:p>
          <w:p w14:paraId="49583C6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130</w:t>
            </w:r>
          </w:p>
          <w:p w14:paraId="5912E5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F7AF6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D100BF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BA7892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05464EC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549E4F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EE0BC8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  <w:p w14:paraId="7EAE66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03A60BE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Q1</w:t>
            </w:r>
          </w:p>
        </w:tc>
      </w:tr>
      <w:tr w:rsidR="00391A1C" w:rsidRPr="00391A1C" w14:paraId="2AC2FAB4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15547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56C87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Szorstkość oznakowania eksploatowanego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655C95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  <w:p w14:paraId="3419B9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01164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C03C7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DC948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B875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</w:t>
            </w:r>
          </w:p>
        </w:tc>
      </w:tr>
      <w:tr w:rsidR="00391A1C" w:rsidRPr="00391A1C" w14:paraId="1B2CA460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18A1F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091FCB" w14:textId="0EB54424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ałość oznakowania cienkowarstwo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wego po 12 miesiącach: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215A40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41C4E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LCPC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2BCC8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12AA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DD647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64EED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91A1C" w:rsidRPr="00391A1C" w14:paraId="0EC610BA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AAB5A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081CD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schnięcia materiału na nawierzchni</w:t>
            </w:r>
          </w:p>
          <w:p w14:paraId="2C473508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dzień</w:t>
            </w:r>
          </w:p>
          <w:p w14:paraId="42CA2DFA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152A0E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3393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2E6225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1C0EC2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31628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14:paraId="4E9C8E6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1017A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69374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27A095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5F7C5E2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5BD7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Tablica 5.  Zbiorcze zestawienie wymagań dla oznakowań na pozostałych drogach nie wymienionych w tablicy 4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391A1C" w:rsidRPr="00391A1C" w14:paraId="74BCF942" w14:textId="77777777" w:rsidTr="004E17EB"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B14A6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D802DA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964508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8717A3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469AA7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391A1C" w:rsidRPr="00391A1C" w14:paraId="71A3FF48" w14:textId="77777777" w:rsidTr="004E17EB">
        <w:trPr>
          <w:cantSplit/>
        </w:trPr>
        <w:tc>
          <w:tcPr>
            <w:tcW w:w="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B3400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AB36E9" w14:textId="7BECFCE4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nowego (w ciągu 14 - 30 dni po wykonaniu) w stanie suchym barwy:    </w:t>
            </w:r>
          </w:p>
          <w:p w14:paraId="0E666C9A" w14:textId="77777777" w:rsidR="00391A1C" w:rsidRPr="00391A1C" w:rsidRDefault="00391A1C" w:rsidP="00391A1C">
            <w:pPr>
              <w:numPr>
                <w:ilvl w:val="1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białej,</w:t>
            </w:r>
          </w:p>
          <w:p w14:paraId="0A610F43" w14:textId="77777777" w:rsidR="00391A1C" w:rsidRPr="00391A1C" w:rsidRDefault="00391A1C" w:rsidP="00391A1C">
            <w:pPr>
              <w:numPr>
                <w:ilvl w:val="1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 tymczasowej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93437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90536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C2CB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AD7A2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2634BB3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FEB63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0831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D2DF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153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</w:p>
          <w:p w14:paraId="228104F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A8AFF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73FCC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B490B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21A2F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  <w:p w14:paraId="1774A9D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71581A29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85621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120792" w14:textId="78D0A25F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eksploatowanego od 2 do 6 miesięcy po wykonaniu, barwy: </w:t>
            </w:r>
          </w:p>
          <w:p w14:paraId="59B92A61" w14:textId="77777777" w:rsidR="00391A1C" w:rsidRPr="00391A1C" w:rsidRDefault="00391A1C" w:rsidP="00391A1C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białej,</w:t>
            </w:r>
          </w:p>
          <w:p w14:paraId="2F9BA9E0" w14:textId="77777777" w:rsidR="00391A1C" w:rsidRPr="00391A1C" w:rsidRDefault="00391A1C" w:rsidP="00391A1C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D0B9A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F669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BF21F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870EA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2249AAD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2B6D8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154D6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462F6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960A0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  <w:p w14:paraId="460B15B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4DEF3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DEFEF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E8892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E33A6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  <w:p w14:paraId="1645083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38A8E1B6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BF0995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37A7F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oznako-wania suchego od 7 miesiąca po wykonaniu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2ED1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BE871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0466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06220925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E7E13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B84D4D" w14:textId="352FCAA6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grubowarstwowego strukturalnego 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od 14 do 30 dnia po wykonaniu,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7A7E0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40D01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BF99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RW3</w:t>
            </w:r>
          </w:p>
        </w:tc>
      </w:tr>
      <w:tr w:rsidR="00391A1C" w:rsidRPr="00391A1C" w14:paraId="270D755E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2C57F4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DB06810" w14:textId="317FE339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rstwowego strukturalnego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po 30 dniu od wykonania,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4FA2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DFA9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465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RW2</w:t>
            </w:r>
          </w:p>
        </w:tc>
      </w:tr>
      <w:tr w:rsidR="00391A1C" w:rsidRPr="00391A1C" w14:paraId="501861D1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5C509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8DA373" w14:textId="3C1EE06A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nowego (od 14 do 30 dnia po wykonaniu)  barwy:</w:t>
            </w:r>
          </w:p>
          <w:p w14:paraId="1EC45BC1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asfaltowej,</w:t>
            </w:r>
          </w:p>
          <w:p w14:paraId="6E00C0F2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betonowej,</w:t>
            </w:r>
          </w:p>
          <w:p w14:paraId="2DF6E8D8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4F73B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173E1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B6206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0692D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2E3B55F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55E7A4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4856BC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8397E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67CC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293B7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19DB911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0,50</w:t>
            </w:r>
          </w:p>
          <w:p w14:paraId="1759C3B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B5612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5DC93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FC78C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B3313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337384D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B4</w:t>
            </w:r>
          </w:p>
          <w:p w14:paraId="71BBE3A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</w:tc>
      </w:tr>
      <w:tr w:rsidR="00391A1C" w:rsidRPr="00391A1C" w14:paraId="6BCB229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6D6FF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B6CEC76" w14:textId="7983FD0E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eksploatowanego (po 30 dniu od wykonania) barwy:</w:t>
            </w:r>
          </w:p>
          <w:p w14:paraId="2CB8384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</w:t>
            </w:r>
          </w:p>
          <w:p w14:paraId="32537AE5" w14:textId="77777777" w:rsidR="00391A1C" w:rsidRPr="00391A1C" w:rsidRDefault="00391A1C" w:rsidP="00391A1C">
            <w:pPr>
              <w:numPr>
                <w:ilvl w:val="12"/>
                <w:numId w:val="0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9E762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26F97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D923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F1A1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039344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978A0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96AF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3C22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9B910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  <w:p w14:paraId="4B18A5E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A20E6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102E3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C9937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2A87B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  <w:p w14:paraId="78A4F80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B1</w:t>
            </w:r>
          </w:p>
        </w:tc>
      </w:tr>
      <w:tr w:rsidR="00391A1C" w:rsidRPr="00391A1C" w14:paraId="198D7E7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FBE2B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C36305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nowego w ciągu od 14 do 30  dnia po wykonaniu, barwy:</w:t>
            </w:r>
          </w:p>
          <w:p w14:paraId="25E89487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6696D79B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43DA49F9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54A82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C4B49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4FFFE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A44D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CF13B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78333A4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604E97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229D71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D9C2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CCFF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6EEDD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A6CEF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</w:t>
            </w:r>
          </w:p>
          <w:p w14:paraId="015D766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160</w:t>
            </w:r>
          </w:p>
          <w:p w14:paraId="7993FD2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63695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CCAEA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562A0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96CF5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E22E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31AE35B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Q4</w:t>
            </w:r>
          </w:p>
          <w:p w14:paraId="034F702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</w:tc>
      </w:tr>
      <w:tr w:rsidR="00391A1C" w:rsidRPr="00391A1C" w14:paraId="24EAC85C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3A511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46107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eksploatowanego w ciągu całego okresu eksploatacji po 30 dniu od wykonania,  barwy:</w:t>
            </w:r>
          </w:p>
          <w:p w14:paraId="16F1DE34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57E61CDF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31EE88C1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701239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00D2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5B08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12857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96C5E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3E89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586DEA0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0BB6EE6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3E578B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54789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A2311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41EDB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4A2FD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1A568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  <w:p w14:paraId="4F7713F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</w:t>
            </w:r>
          </w:p>
          <w:p w14:paraId="26460C8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85A6A8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B6C48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EE51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C82A2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050E5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E046EC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  <w:p w14:paraId="2B1AD19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3EE6522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Q1</w:t>
            </w:r>
          </w:p>
        </w:tc>
      </w:tr>
      <w:tr w:rsidR="00391A1C" w:rsidRPr="00391A1C" w14:paraId="3A213D01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15469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42E30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Szorstkość oznakowania eksploatowanego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0C764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  <w:p w14:paraId="2F219F6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ED6C6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640BB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B22986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3DFD0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</w:t>
            </w:r>
          </w:p>
        </w:tc>
      </w:tr>
      <w:tr w:rsidR="00391A1C" w:rsidRPr="00391A1C" w14:paraId="4DA75211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2E171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37E0DD" w14:textId="0F9E5E66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ałość oznakowania cienkowarstwo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wego po 12 miesiącach: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BA312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FCD88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LCPC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0C470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0CCA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C55C9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E2D9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91A1C" w:rsidRPr="00391A1C" w14:paraId="193F3DEE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704451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DA96C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schnięcia materiału na nawierzchni</w:t>
            </w:r>
          </w:p>
          <w:p w14:paraId="01D76F4B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dzień</w:t>
            </w:r>
          </w:p>
          <w:p w14:paraId="40D554A8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31D84A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6E06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218C5C5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0BF259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10C26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14:paraId="7DFDDE7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4DB77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84C19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70300B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2A3797F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CF981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6.4. Tolerancje wymiarów oznakowania</w:t>
      </w:r>
    </w:p>
    <w:p w14:paraId="1F8C947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6.4.1.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Tolerancje nowo wykonanego oznakowania</w:t>
      </w:r>
    </w:p>
    <w:p w14:paraId="6F297C5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Tolerancje nowo wykonanego oznakowania poziomego, zgodnego z dokumentacją projektową i załącznikiem nr 2 do rozporządzenia Ministra Infrastruktury z 3.07.2003 r. [7], powinny odpowiadać następującym warunkom:</w:t>
      </w:r>
    </w:p>
    <w:p w14:paraId="2593016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szerokość linii może różnić się od wymaganej o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3A9751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długość linii może być mniejsza od wymaganej co najwyżej o </w:t>
      </w:r>
      <w:smartTag w:uri="urn:schemas-microsoft-com:office:smarttags" w:element="metricconverter">
        <w:smartTagPr>
          <w:attr w:name="ProductID" w:val="5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większa co najwyżej o </w:t>
      </w:r>
      <w:smartTag w:uri="urn:schemas-microsoft-com:office:smarttags" w:element="metricconverter">
        <w:smartTagPr>
          <w:attr w:name="ProductID" w:val="15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6FE587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linii przerywanych, długość cyklu składającego się z linii i przerwy nie może odbiegać od średniej liczonej z 10 kolejnych cykli o więcej niż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długości wymaganej,</w:t>
      </w:r>
    </w:p>
    <w:p w14:paraId="4695786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strzałek, liter i cyfr rozstaw punktów narożnikowych nie może mieć większej odchyłki od wymaganego wzoru niż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wymiaru długości 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0 mm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wymiaru szerokości.</w:t>
      </w:r>
    </w:p>
    <w:p w14:paraId="6F3985D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wykonywaniu nowego oznakowania poziomego, spowodowanego zmianami organizacji ruchu, należy dokładnie usunąć zbędne stare oznakowanie.</w:t>
      </w:r>
    </w:p>
    <w:p w14:paraId="0CD1B68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6.4.2.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Tolerancje przy odnawianiu istniejącego oznakowania</w:t>
      </w:r>
    </w:p>
    <w:p w14:paraId="6453E58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odnawianiu istniejącego oznakowania należy dążyć do  pokrycia pełnej powierzchni istniejących znaków, przy zachowaniu dopuszczalnych tolerancji podanych w punkcie 6.4.1.</w:t>
      </w:r>
    </w:p>
    <w:p w14:paraId="019A5F3E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5" w:name="_Toc420816686"/>
      <w:bookmarkStart w:id="16" w:name="_Toc131919916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7. Obmiar robót</w:t>
      </w:r>
      <w:bookmarkEnd w:id="15"/>
      <w:bookmarkEnd w:id="16"/>
    </w:p>
    <w:p w14:paraId="1A447B28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7.1. Ogólne zasady obmiaru robót</w:t>
      </w:r>
    </w:p>
    <w:p w14:paraId="503578C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obmiaru robót podano w OST D-M-00.00.00 „Wymagania ogólne” pkt 7.</w:t>
      </w:r>
    </w:p>
    <w:p w14:paraId="2E669DE8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7.2. Jednostka obmiarowa</w:t>
      </w:r>
    </w:p>
    <w:p w14:paraId="31C48CF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Jednostką obmiarową oznakowania poziomego jest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naniesionych oznakowań lub liczba umieszczonych punktowych elementów odblaskowych.</w:t>
      </w:r>
    </w:p>
    <w:p w14:paraId="5C60EF11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7" w:name="_Toc420816687"/>
      <w:bookmarkStart w:id="18" w:name="_Toc131919917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8. odbiór robót</w:t>
      </w:r>
      <w:bookmarkEnd w:id="17"/>
      <w:bookmarkEnd w:id="18"/>
    </w:p>
    <w:p w14:paraId="0DC04B6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8.1. Ogólne zasady odbioru robót</w:t>
      </w:r>
    </w:p>
    <w:p w14:paraId="2518607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odbioru robót podano w OST D-M-00.00.00 „Wymagania ogólne” pkt 8.</w:t>
      </w:r>
    </w:p>
    <w:p w14:paraId="33389C3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Roboty uznaje się za wykonane zgodnie z dokumentacją projektową, SST i wymaganiami Inżyniera, jeżeli wszystkie pomiary i badania, z zachowaniem tolerancji wg pkt 6, dały wyniki pozytywne.</w:t>
      </w:r>
    </w:p>
    <w:p w14:paraId="1DCE3A5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BA1945F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8.2. Odbiór robót zanikających i ulegających zakryciu</w:t>
      </w:r>
    </w:p>
    <w:p w14:paraId="50C5B5C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robót zanikających i ulegających zakryciu, w zależności od przyjętego sposobu wykonania robót, może być dokonany po:</w:t>
      </w:r>
    </w:p>
    <w:p w14:paraId="4BDBBF7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oczyszczeniu powierzchni nawierzchni,</w:t>
      </w:r>
    </w:p>
    <w:p w14:paraId="484D94E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przedznakowaniu,</w:t>
      </w:r>
    </w:p>
    <w:p w14:paraId="6355EC6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frezowaniu nawierzchni przed wykonaniem znakowania materiałem grubowarstwowym,</w:t>
      </w:r>
    </w:p>
    <w:p w14:paraId="725B3C1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usunięciu istniejącego oznakowania poziomego,</w:t>
      </w:r>
    </w:p>
    <w:p w14:paraId="311DA7F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wykonaniu podkładu (primera) na nawierzchni betonowej.</w:t>
      </w:r>
    </w:p>
    <w:p w14:paraId="59C22FCF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8.3. Odbiór ostateczny</w:t>
      </w:r>
    </w:p>
    <w:p w14:paraId="09B0FA0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ostatecznego należy dokonać po całkowitym zakończeniu robót, na podstawie wyników pomiarów i badań jakościowych określonych w punktach od 2 do 6.</w:t>
      </w:r>
    </w:p>
    <w:p w14:paraId="6575CD77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8.4. Odbiór pogwarancyjny</w:t>
      </w:r>
    </w:p>
    <w:p w14:paraId="73583B0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pogwarancyjnego należy dokonać po upływie okresu gwarancyjnego, ustalonego w SST. Sprawdzeniu podlegają cechy oznakowania określone niniejszym OST na podstawie badań wykonanych przed upływem okresu gwarancyjnego.</w:t>
      </w:r>
    </w:p>
    <w:p w14:paraId="1ADD4B7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Zaleca się stosowanie następujących minimalnych okresów gwarancyjnych:</w:t>
      </w:r>
    </w:p>
    <w:p w14:paraId="36A5F36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oznakowania cienkowarstwowego:</w:t>
      </w:r>
    </w:p>
    <w:p w14:paraId="1778372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odcinkach zamiejskich, z wyłączeniem przejść dla pieszych: co najmniej 12 miesięcy,</w:t>
      </w:r>
    </w:p>
    <w:p w14:paraId="79E785A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odcinkach przejść przez miejscowości: co najmniej 6 miesięcy,</w:t>
      </w:r>
    </w:p>
    <w:p w14:paraId="41FEB53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przejściach dla pieszych na odcinkach zamiejskich: co najmniej 6 miesięcy,</w:t>
      </w:r>
    </w:p>
    <w:p w14:paraId="637A507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przejściach dla pieszych w miejscowościach: co najmniej 3 miesiące,</w:t>
      </w:r>
    </w:p>
    <w:p w14:paraId="666D2D55" w14:textId="77777777" w:rsidR="00391A1C" w:rsidRPr="00391A1C" w:rsidRDefault="00391A1C" w:rsidP="00391A1C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dla oznakowania grubowarstwowego, oznakowania taśmami i punktowymi elementami odblaskowymi: co najmniej 24 miesiące.</w:t>
      </w:r>
    </w:p>
    <w:p w14:paraId="057102C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niektórych przypadkach można rozważać ograniczenia okresów gwarancyjnych dla oznakowań:</w:t>
      </w:r>
    </w:p>
    <w:p w14:paraId="5B8356A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cienkowarstwowych</w:t>
      </w:r>
    </w:p>
    <w:p w14:paraId="58A0AC9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dla wymalowań farbami nie udziela się 12 miesięcznej gwarancji na wykonane oznakowanie w przypadku nawierzchni, których czas użytkowania jest krótszy niż jeden rok oraz dla oznakowań wykonanych w okresie od 1 listopada do 31 marca,</w:t>
      </w:r>
    </w:p>
    <w:p w14:paraId="27093DB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bitumicznych niejednorodnych o warstwie ścieralnej spękanej, kruszącej się, z luźnymi grysami, należy skrócić okres gwarancyjny dla linii segregacyjnych do 6 miesięcy, przejść dla pieszych i drobnych elementów do 3 miesięcy,</w:t>
      </w:r>
    </w:p>
    <w:p w14:paraId="2890BBA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kostkowych o równej powierzchni w dobrym stanie, pożądane jest skrócić okres gwarancyjny dla linii segregacyjnych do 3  miesięcy, przejść dla pieszych i drobnych elementów do 1 miesiąca,</w:t>
      </w:r>
    </w:p>
    <w:p w14:paraId="537B649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drogowych o silnie zdeformowanej, spękanej, łuszczącej się powierzchni, na złączach podłużnych jeśli są niejednorodne, tj. ze szczelinami, garbami podłużnymi i poprzecznymi, na nawierzchniach kostkowych w złym stanie (nierówna powierzchnia, kostka uszkodzona, braki kostki, luźne zanieczyszczenia w szczelinach między kostkami niemożliwe do usunięcia za pomocą szczotki i zamiatarki) - gwarancji nie powinno się udzielać,</w:t>
      </w:r>
    </w:p>
    <w:p w14:paraId="3FCE987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stosowania piasku  lub piasku z solą do zimowego utrzymania dróg, okres gwarancyjny należy skrócić do maksimum 9 miesięcy przy wymalowaniu wiosennym i do 6 miesięcy przy wymalowaniu jesiennym;</w:t>
      </w:r>
    </w:p>
    <w:p w14:paraId="73BB31F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bitumicznych ułożonych do 1 miesiąca przed wykonaniem oznakowania (nawierzchnie nowe i odnowione) należy wymagać gwarancji maksymalnie 6 miesięcy przy minimalnych parametrach (R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&gt; 100 mcd/m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lx), po czym należy wykonać oznakowanie stałe z pełnymi wymaganiami odpowiednimi do rodzaju drogi.</w:t>
      </w:r>
    </w:p>
    <w:p w14:paraId="6F78C7CA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9" w:name="_Toc420816688"/>
      <w:bookmarkStart w:id="20" w:name="_Toc131919918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9. podstawa płatności</w:t>
      </w:r>
      <w:bookmarkEnd w:id="19"/>
      <w:bookmarkEnd w:id="20"/>
    </w:p>
    <w:p w14:paraId="0795825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9.1. Ogólne ustalenia dotyczące podstawy płatności</w:t>
      </w:r>
    </w:p>
    <w:p w14:paraId="0DB674D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ustalenia dotyczące podstawy płatności podano w OST D-M-00.00.00 „Wymagania ogólne” pkt 9. Ponadto Zamawiający powinien tak sformułować umowę, aby Wykonawca musiał doprowadzić oznakowanie do wymagań zawartych w SST w przypadku zauważenia niezgodności.</w:t>
      </w:r>
    </w:p>
    <w:p w14:paraId="2BAC194B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9.2. Cena jednostki obmiarowej</w:t>
      </w:r>
    </w:p>
    <w:p w14:paraId="045321E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Cena </w:t>
      </w:r>
      <w:smartTag w:uri="urn:schemas-microsoft-com:office:smarttags" w:element="metricconverter">
        <w:smartTagPr>
          <w:attr w:name="ProductID" w:val="1 m2"/>
          <w:attr w:name="st" w:val="on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</w:t>
        </w:r>
        <w:r w:rsidRPr="00391A1C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pl-PL"/>
          </w:rPr>
          <w:t>2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robót obejmuje:</w:t>
      </w:r>
    </w:p>
    <w:p w14:paraId="04482B4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pomiarowe, roboty przygotowawcze i oznakowanie robót,</w:t>
      </w:r>
    </w:p>
    <w:p w14:paraId="5FB0270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i dostarczenie materiałów,</w:t>
      </w:r>
    </w:p>
    <w:p w14:paraId="03D5AC7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oczyszczenie podłoża (nawierzchni),</w:t>
      </w:r>
    </w:p>
    <w:p w14:paraId="3745BC7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przedznakowanie,</w:t>
      </w:r>
    </w:p>
    <w:p w14:paraId="095C621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naniesienie powłoki znaków na nawierzchnię drogi o kształtach i wymiarach zgodnych z dokumentacją projektową i załącznikiem nr 2 do rozporządzenia Ministra Infrastruktury [7],</w:t>
      </w:r>
    </w:p>
    <w:p w14:paraId="382C216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znaków przed zniszczeniem przez pojazdy w czasie prowadzenia robót,</w:t>
      </w:r>
    </w:p>
    <w:p w14:paraId="1009B7A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pomiarów i badań laboratoryjnych wymaganych w specyfikacji technicznej.</w:t>
      </w:r>
    </w:p>
    <w:p w14:paraId="5FD7F9C1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1" w:name="_Toc420816689"/>
      <w:bookmarkStart w:id="22" w:name="_Toc131919919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10. przepisy  związane</w:t>
      </w:r>
      <w:bookmarkEnd w:id="21"/>
      <w:bookmarkEnd w:id="22"/>
    </w:p>
    <w:p w14:paraId="7B954AC2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309"/>
      </w:tblGrid>
      <w:tr w:rsidR="00391A1C" w:rsidRPr="00391A1C" w14:paraId="2D3988A7" w14:textId="77777777" w:rsidTr="004E17EB">
        <w:tc>
          <w:tcPr>
            <w:tcW w:w="496" w:type="dxa"/>
            <w:shd w:val="clear" w:color="auto" w:fill="auto"/>
          </w:tcPr>
          <w:p w14:paraId="2961F90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2E9B417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PN-89/C-81400</w:t>
            </w:r>
          </w:p>
        </w:tc>
        <w:tc>
          <w:tcPr>
            <w:tcW w:w="6309" w:type="dxa"/>
            <w:shd w:val="clear" w:color="auto" w:fill="auto"/>
          </w:tcPr>
          <w:p w14:paraId="152AFD0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Wyroby lakierowe. Pakowanie, przechowywanie i transport</w:t>
            </w:r>
          </w:p>
        </w:tc>
      </w:tr>
      <w:tr w:rsidR="00391A1C" w:rsidRPr="00391A1C" w14:paraId="2B1CDF60" w14:textId="77777777" w:rsidTr="004E17EB">
        <w:tc>
          <w:tcPr>
            <w:tcW w:w="496" w:type="dxa"/>
            <w:shd w:val="clear" w:color="auto" w:fill="auto"/>
          </w:tcPr>
          <w:p w14:paraId="133C2E5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06CB420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PN-85/O-79252</w:t>
            </w:r>
          </w:p>
        </w:tc>
        <w:tc>
          <w:tcPr>
            <w:tcW w:w="6309" w:type="dxa"/>
            <w:shd w:val="clear" w:color="auto" w:fill="auto"/>
          </w:tcPr>
          <w:p w14:paraId="3EB1191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transportowe z zawartością. Znaki i znakowanie. Wymagania podstawowe</w:t>
            </w:r>
          </w:p>
        </w:tc>
      </w:tr>
      <w:tr w:rsidR="00391A1C" w:rsidRPr="00391A1C" w14:paraId="20AEC6D1" w14:textId="77777777" w:rsidTr="004E17EB">
        <w:tc>
          <w:tcPr>
            <w:tcW w:w="496" w:type="dxa"/>
            <w:shd w:val="clear" w:color="auto" w:fill="auto"/>
          </w:tcPr>
          <w:p w14:paraId="0DB2330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085D5703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1423:2000,</w:t>
            </w:r>
          </w:p>
          <w:p w14:paraId="7FDFC70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46E37FE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 Materiały do posypywania. Kulki szklane, kruszywo przeciwpoślizgowe i ich mieszaniny)</w:t>
            </w:r>
          </w:p>
        </w:tc>
      </w:tr>
      <w:tr w:rsidR="00391A1C" w:rsidRPr="00391A1C" w14:paraId="31D641FF" w14:textId="77777777" w:rsidTr="004E17EB">
        <w:tc>
          <w:tcPr>
            <w:tcW w:w="496" w:type="dxa"/>
            <w:shd w:val="clear" w:color="auto" w:fill="auto"/>
          </w:tcPr>
          <w:p w14:paraId="6C0E0A1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3a.</w:t>
            </w:r>
          </w:p>
        </w:tc>
        <w:tc>
          <w:tcPr>
            <w:tcW w:w="1842" w:type="dxa"/>
            <w:shd w:val="clear" w:color="auto" w:fill="auto"/>
          </w:tcPr>
          <w:p w14:paraId="71A680E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1423:2001/A1:2005</w:t>
            </w:r>
          </w:p>
        </w:tc>
        <w:tc>
          <w:tcPr>
            <w:tcW w:w="6309" w:type="dxa"/>
            <w:shd w:val="clear" w:color="auto" w:fill="auto"/>
          </w:tcPr>
          <w:p w14:paraId="1BAC08B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 Materiały do posypywania. Kulki szklane, kruszywo przeciwpoślizgowe i ich mieszaniny (Zmiana A1)</w:t>
            </w:r>
          </w:p>
        </w:tc>
      </w:tr>
      <w:tr w:rsidR="00391A1C" w:rsidRPr="00391A1C" w14:paraId="596DC001" w14:textId="77777777" w:rsidTr="004E17EB">
        <w:tc>
          <w:tcPr>
            <w:tcW w:w="496" w:type="dxa"/>
            <w:shd w:val="clear" w:color="auto" w:fill="auto"/>
          </w:tcPr>
          <w:p w14:paraId="03AEA95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5EA3DA1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1436:2000,</w:t>
            </w:r>
          </w:p>
          <w:p w14:paraId="4EF313A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5E46B3D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Wymagania dotyczące poziomego oznakowania dróg</w:t>
            </w:r>
          </w:p>
        </w:tc>
      </w:tr>
      <w:tr w:rsidR="00391A1C" w:rsidRPr="00391A1C" w14:paraId="7AB96F44" w14:textId="77777777" w:rsidTr="004E17EB">
        <w:tc>
          <w:tcPr>
            <w:tcW w:w="496" w:type="dxa"/>
            <w:shd w:val="clear" w:color="auto" w:fill="auto"/>
          </w:tcPr>
          <w:p w14:paraId="626BC71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4a.</w:t>
            </w:r>
          </w:p>
        </w:tc>
        <w:tc>
          <w:tcPr>
            <w:tcW w:w="1842" w:type="dxa"/>
            <w:shd w:val="clear" w:color="auto" w:fill="auto"/>
          </w:tcPr>
          <w:p w14:paraId="5BC1D0A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PN-EN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1436:2000/A1:2005</w:t>
            </w:r>
          </w:p>
        </w:tc>
        <w:tc>
          <w:tcPr>
            <w:tcW w:w="6309" w:type="dxa"/>
            <w:shd w:val="clear" w:color="auto" w:fill="auto"/>
          </w:tcPr>
          <w:p w14:paraId="356EE7A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Materiały do poziomego oznakowania dróg. Wymagania dotyczące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poziomego oznakowania dróg (Zmiana A1)</w:t>
            </w:r>
          </w:p>
        </w:tc>
      </w:tr>
      <w:tr w:rsidR="00391A1C" w:rsidRPr="00391A1C" w14:paraId="20C32A79" w14:textId="77777777" w:rsidTr="004E17EB">
        <w:tc>
          <w:tcPr>
            <w:tcW w:w="496" w:type="dxa"/>
            <w:shd w:val="clear" w:color="auto" w:fill="auto"/>
          </w:tcPr>
          <w:p w14:paraId="36EE8B1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14:paraId="785B209C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1463-1:2000</w:t>
            </w:r>
          </w:p>
          <w:p w14:paraId="5AFEFB67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02FF8CA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1: Wymagania dotyczące charakterystyki nowego elementu</w:t>
            </w:r>
          </w:p>
        </w:tc>
      </w:tr>
      <w:tr w:rsidR="00391A1C" w:rsidRPr="00391A1C" w14:paraId="6A25B4F6" w14:textId="77777777" w:rsidTr="004E17EB">
        <w:tc>
          <w:tcPr>
            <w:tcW w:w="496" w:type="dxa"/>
            <w:shd w:val="clear" w:color="auto" w:fill="auto"/>
          </w:tcPr>
          <w:p w14:paraId="7A4134F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5a.</w:t>
            </w:r>
          </w:p>
        </w:tc>
        <w:tc>
          <w:tcPr>
            <w:tcW w:w="1842" w:type="dxa"/>
            <w:shd w:val="clear" w:color="auto" w:fill="auto"/>
          </w:tcPr>
          <w:p w14:paraId="3299730C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PN-EN 1463-1:2000/A1:2005</w:t>
            </w:r>
          </w:p>
        </w:tc>
        <w:tc>
          <w:tcPr>
            <w:tcW w:w="6309" w:type="dxa"/>
            <w:shd w:val="clear" w:color="auto" w:fill="auto"/>
          </w:tcPr>
          <w:p w14:paraId="43DF575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1: Wymagania dotyczące charakterystyki nowego elementu (Zmiana A1)</w:t>
            </w:r>
          </w:p>
        </w:tc>
      </w:tr>
      <w:tr w:rsidR="00391A1C" w:rsidRPr="00391A1C" w14:paraId="5E6B308A" w14:textId="77777777" w:rsidTr="004E17EB">
        <w:tc>
          <w:tcPr>
            <w:tcW w:w="496" w:type="dxa"/>
            <w:shd w:val="clear" w:color="auto" w:fill="auto"/>
          </w:tcPr>
          <w:p w14:paraId="439C28D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5b.</w:t>
            </w:r>
          </w:p>
        </w:tc>
        <w:tc>
          <w:tcPr>
            <w:tcW w:w="1842" w:type="dxa"/>
            <w:shd w:val="clear" w:color="auto" w:fill="auto"/>
          </w:tcPr>
          <w:p w14:paraId="58D7BA63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1463-2:2000</w:t>
            </w:r>
          </w:p>
        </w:tc>
        <w:tc>
          <w:tcPr>
            <w:tcW w:w="6309" w:type="dxa"/>
            <w:shd w:val="clear" w:color="auto" w:fill="auto"/>
          </w:tcPr>
          <w:p w14:paraId="6716529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2: Badania terenowe</w:t>
            </w:r>
          </w:p>
        </w:tc>
      </w:tr>
      <w:tr w:rsidR="00391A1C" w:rsidRPr="00391A1C" w14:paraId="06C8B3C3" w14:textId="77777777" w:rsidTr="004E17EB">
        <w:tc>
          <w:tcPr>
            <w:tcW w:w="496" w:type="dxa"/>
            <w:shd w:val="clear" w:color="auto" w:fill="auto"/>
          </w:tcPr>
          <w:p w14:paraId="5131F52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0495A20C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1871:2003</w:t>
            </w:r>
          </w:p>
        </w:tc>
        <w:tc>
          <w:tcPr>
            <w:tcW w:w="6309" w:type="dxa"/>
            <w:shd w:val="clear" w:color="auto" w:fill="auto"/>
          </w:tcPr>
          <w:p w14:paraId="7B765C8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Właściwości fizyczne</w:t>
            </w:r>
          </w:p>
        </w:tc>
      </w:tr>
      <w:tr w:rsidR="00391A1C" w:rsidRPr="00391A1C" w14:paraId="2E545129" w14:textId="77777777" w:rsidTr="004E17EB">
        <w:tc>
          <w:tcPr>
            <w:tcW w:w="496" w:type="dxa"/>
            <w:shd w:val="clear" w:color="auto" w:fill="auto"/>
          </w:tcPr>
          <w:p w14:paraId="5CA4F81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1842" w:type="dxa"/>
            <w:shd w:val="clear" w:color="auto" w:fill="auto"/>
          </w:tcPr>
          <w:p w14:paraId="3FCF33D2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13036-4: 2004(U)</w:t>
            </w:r>
          </w:p>
        </w:tc>
        <w:tc>
          <w:tcPr>
            <w:tcW w:w="6309" w:type="dxa"/>
            <w:shd w:val="clear" w:color="auto" w:fill="auto"/>
          </w:tcPr>
          <w:p w14:paraId="0B03DD7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Drogi samochodowe i lotniskowe – Metody badań – Część 4: Metoda pomiaru oporów poślizgu/poślizgnięcia na powierzchni: próba wahadła</w:t>
            </w:r>
          </w:p>
        </w:tc>
      </w:tr>
    </w:tbl>
    <w:p w14:paraId="73BA6271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10.2. 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Przepisy związane i inne dokumenty</w:t>
      </w:r>
    </w:p>
    <w:p w14:paraId="505F6D01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rozporządzenia Ministra Infrastruktury z dnia 3 lipca 2003 r. Szczegółowe warunki techniczne dla znaków drogowych poziomych i warunki ich umieszczania na drogach (Dz. U. nr 220, poz. 2181)</w:t>
      </w:r>
    </w:p>
    <w:p w14:paraId="77E5A530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 Ministra  Infrastruktury   z  dnia  11 sierpnia 2004 r.  w  sprawie  sposobów deklarowania zgodności wyrobów budowlanych oraz sposobu znakowania ich  znakiem budowlanym (Dz. U. nr 198, poz. 2041)</w:t>
      </w:r>
    </w:p>
    <w:p w14:paraId="3FFF1CDF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Techniczne. Poziome znakowanie dróg. POD-97. Seria „I” - Informacje, Instrukcje. Zeszyt nr 55. IBDiM, Warszawa, 1997</w:t>
      </w:r>
    </w:p>
    <w:p w14:paraId="3903695C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Techniczne. Poziome znakowanie dróg. POD-2006. Seria „I” - Informacje, Instrukcje. IBDiM, Warszawa, w opracowaniu</w:t>
      </w:r>
    </w:p>
    <w:p w14:paraId="52EDB9CD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przewozowe (Dz. U. nr 53 z 1984 r., poz. 272 z późniejszymi zmianami)</w:t>
      </w:r>
    </w:p>
    <w:p w14:paraId="04FDBCFA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Infrastruktury z dnia 11 sierpnia 2004 r.  w  sprawie  systemów oceny zgodności, wymagań jakie powinny spełniać notyfikowane jednostki uczestniczące w ocenie zgodności oraz sposobu oznaczania wyrobów budowlanych oznakowaniem CE (Dz. U. nr 195, poz. 2011)</w:t>
      </w:r>
    </w:p>
    <w:p w14:paraId="15476B96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Zdrowia z dnia 2 września 2003 r. w sprawie oznakowania opakowań substancji niebezpiecznych i preparatów niebezpiecznych (Dz. U. nr 73, poz. 1679)</w:t>
      </w:r>
    </w:p>
    <w:p w14:paraId="6FF705C6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europejska dotycząca międzynarodowego przewozu towarów niebezpiecznych (RID/ADR)</w:t>
      </w:r>
    </w:p>
    <w:p w14:paraId="72A5642E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Infrastruktury z dnia 8 listopada 2004 r. w sprawie aprobat technicznych oraz jednostek organizacyjnych uprawnionych do ich wydania (Dz. U. nr 249, poz. 2497)</w:t>
      </w:r>
    </w:p>
    <w:p w14:paraId="4E011E3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AF5A8" w14:textId="06C1E6D1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7C09054" w14:textId="42CD16FB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0F76968" w14:textId="33EC1D0A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422DB22" w14:textId="2C0CD31D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30BDBED" w14:textId="18A19998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A8E11CC" w14:textId="41F489D4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D586461" w14:textId="3580B58E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5C1D17E" w14:textId="3F8C2F59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0013324" w14:textId="4827055F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C05D8E4" w14:textId="377A28FF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4837FBF" w14:textId="787D1B0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282E08A" w14:textId="283F53BB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07BEF9F" w14:textId="3C7B026D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618E5FD" w14:textId="611F18B6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85906A9" w14:textId="37E361F9" w:rsidR="00931C51" w:rsidRDefault="00931C51" w:rsidP="00921076">
      <w:pPr>
        <w:spacing w:before="240" w:after="0" w:line="360" w:lineRule="auto"/>
        <w:rPr>
          <w:rFonts w:ascii="Arial" w:hAnsi="Arial" w:cs="Arial"/>
        </w:rPr>
      </w:pPr>
    </w:p>
    <w:p w14:paraId="29326473" w14:textId="77777777" w:rsidR="00921076" w:rsidRDefault="00921076" w:rsidP="00921076">
      <w:pPr>
        <w:spacing w:before="240" w:after="0" w:line="360" w:lineRule="auto"/>
        <w:rPr>
          <w:rFonts w:ascii="Arial" w:hAnsi="Arial" w:cs="Arial"/>
          <w:i/>
        </w:rPr>
      </w:pPr>
    </w:p>
    <w:p w14:paraId="22AB87C8" w14:textId="0F3466D1" w:rsidR="00931C51" w:rsidRPr="00391A1C" w:rsidRDefault="00931C51" w:rsidP="00931C51">
      <w:pPr>
        <w:spacing w:before="240" w:after="0" w:line="360" w:lineRule="auto"/>
        <w:jc w:val="right"/>
        <w:rPr>
          <w:rFonts w:ascii="Arial" w:hAnsi="Arial" w:cs="Arial"/>
          <w:i/>
        </w:rPr>
      </w:pPr>
      <w:r w:rsidRPr="00391A1C">
        <w:rPr>
          <w:rFonts w:ascii="Arial" w:hAnsi="Arial" w:cs="Arial"/>
          <w:i/>
        </w:rPr>
        <w:t xml:space="preserve">Załącznik </w:t>
      </w:r>
      <w:r w:rsidRPr="00931C51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>R 2</w:t>
      </w:r>
      <w:r w:rsidRPr="00391A1C">
        <w:rPr>
          <w:rFonts w:ascii="Arial" w:hAnsi="Arial" w:cs="Arial"/>
          <w:i/>
        </w:rPr>
        <w:t xml:space="preserve"> do OPZ</w:t>
      </w:r>
    </w:p>
    <w:p w14:paraId="1DAE04E6" w14:textId="204D4011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E9F90BC" w14:textId="4FE66286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45E97E1" w14:textId="01D6289C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9EDBA4E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0111102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 - 07.02.03</w:t>
      </w:r>
    </w:p>
    <w:p w14:paraId="59C66F4A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2CA84393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REMONT  OZNAKOWANIA  PIONOWEGO</w:t>
      </w:r>
    </w:p>
    <w:p w14:paraId="4E352223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6B7A5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14175CF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5158FE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6CFFD7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43B750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80478BC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E98A82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178A51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C60FAB5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F7EA57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SPIS TREŚCI</w:t>
      </w:r>
    </w:p>
    <w:p w14:paraId="389E4538" w14:textId="089C8E30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t xml:space="preserve">  </w:t>
      </w: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instrText xml:space="preserve"> TOC \o "1-1" </w:instrText>
      </w: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fldChar w:fldCharType="separate"/>
      </w: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>1. WSTĘP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_Toc495460367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_Toc495460367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2AD25122" w14:textId="6B7D4212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2. MATERIAŁY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_Toc495460368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_Toc495460368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617F4C62" w14:textId="5FB539B4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3. SPRZĘT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_Toc495460369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_Toc495460369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6BA22CEE" w14:textId="5DB8FD81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4. TRANSPORT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_Toc495460370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_Toc495460370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47A2A4CA" w14:textId="296EFDA8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5. WYKONANIE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_Toc495460371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_Toc495460371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33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4598BCD0" w14:textId="58D8AF4B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6. KONTROLA JAKOŚCI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_Toc495460372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_Toc495460372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34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0F9052D4" w14:textId="56631390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lastRenderedPageBreak/>
        <w:t xml:space="preserve">  7. OBMIAR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_Toc495460373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_Toc495460373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34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2EC64BA2" w14:textId="3AC7932C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8. ODBIÓR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_Toc495460374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_Toc495460374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08505DAC" w14:textId="0121B279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9. PODSTAWA PŁATNOŚCI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_Toc495460375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_Toc495460375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0E263E78" w14:textId="19D941FE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>10. PRZEPISY ZWIĄZANE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_Toc495460376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_Toc495460376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6C3730CC" w14:textId="77777777" w:rsidR="00931C51" w:rsidRPr="00931C51" w:rsidRDefault="00931C51" w:rsidP="00931C51">
      <w:pP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</w:p>
    <w:p w14:paraId="1C57EC96" w14:textId="77777777" w:rsidR="00931C51" w:rsidRPr="00931C51" w:rsidRDefault="00931C51" w:rsidP="00931C51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1BEE50" w14:textId="77777777" w:rsidR="00931C51" w:rsidRPr="00931C51" w:rsidRDefault="00931C51" w:rsidP="00931C51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NAJWAŻNIEJSZE OZNACZENIA I SKRÓTY</w:t>
      </w: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20"/>
      </w:tblGrid>
      <w:tr w:rsidR="00931C51" w:rsidRPr="00931C51" w14:paraId="2034B948" w14:textId="77777777" w:rsidTr="004E17EB">
        <w:tc>
          <w:tcPr>
            <w:tcW w:w="810" w:type="dxa"/>
          </w:tcPr>
          <w:p w14:paraId="6E925943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</w:t>
            </w:r>
          </w:p>
        </w:tc>
        <w:tc>
          <w:tcPr>
            <w:tcW w:w="3420" w:type="dxa"/>
          </w:tcPr>
          <w:p w14:paraId="7F77563F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ogólna specyfikacja techniczna</w:t>
            </w:r>
          </w:p>
        </w:tc>
      </w:tr>
      <w:tr w:rsidR="00931C51" w:rsidRPr="00931C51" w14:paraId="32C4A484" w14:textId="77777777" w:rsidTr="004E17EB">
        <w:tc>
          <w:tcPr>
            <w:tcW w:w="810" w:type="dxa"/>
          </w:tcPr>
          <w:p w14:paraId="21B4C584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SST</w:t>
            </w:r>
          </w:p>
        </w:tc>
        <w:tc>
          <w:tcPr>
            <w:tcW w:w="3420" w:type="dxa"/>
          </w:tcPr>
          <w:p w14:paraId="2F0A21EF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szczegółowa specyfikacja techniczna</w:t>
            </w:r>
          </w:p>
        </w:tc>
      </w:tr>
    </w:tbl>
    <w:p w14:paraId="3CE83BDD" w14:textId="77777777" w:rsidR="00931C51" w:rsidRPr="00931C51" w:rsidRDefault="00931C51" w:rsidP="00931C51">
      <w:pPr>
        <w:tabs>
          <w:tab w:val="right" w:leader="dot" w:pos="-1985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</w:p>
    <w:p w14:paraId="344D53F2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20"/>
          <w:lang w:eastAsia="pl-PL"/>
        </w:rPr>
        <w:sectPr w:rsidR="00931C51" w:rsidRPr="00931C51" w:rsidSect="00E60D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284" w:footer="454" w:gutter="0"/>
          <w:cols w:space="708"/>
          <w:docGrid w:linePitch="299"/>
        </w:sectPr>
      </w:pPr>
    </w:p>
    <w:p w14:paraId="159A2968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3" w:name="_Toc495460367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lastRenderedPageBreak/>
        <w:t>1. WSTĘP</w:t>
      </w:r>
      <w:bookmarkEnd w:id="23"/>
    </w:p>
    <w:p w14:paraId="563340FD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1.1. Przedmiot OST</w:t>
      </w:r>
    </w:p>
    <w:p w14:paraId="07510B52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Przedmiotem niniejszej j specyfikacji technicznej są wymagania dotyczące wykonania i odbioru robót związanych z remontem oznakowania pionowego dróg.</w:t>
      </w:r>
    </w:p>
    <w:p w14:paraId="4B2C015C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1.2. Zakres stosowania OST</w:t>
      </w:r>
    </w:p>
    <w:p w14:paraId="723D059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Specyfikacja techniczna stanowi dokument przetargowy i kontraktowy przy zlecaniu i realizacji robót na drogach gminnych.</w:t>
      </w:r>
    </w:p>
    <w:p w14:paraId="2A0BF2D5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F96CB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1.3. Zakres robót objętych SST</w:t>
      </w:r>
    </w:p>
    <w:p w14:paraId="7EF8B32C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Ustalenia zawarte w niniejszej specyfikacji dotyczą zasad prowadzenia robót związanych z remontem oznakowania pionowego stosowanego na drogach, w postaci znaków ostrzegawczych, zakazu, nakazu, informacyjnych, kierunku, miejscowości i znaków uzupełniających.</w:t>
      </w:r>
    </w:p>
    <w:p w14:paraId="25FE9F7D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1.4. Określenia podstawowe</w:t>
      </w:r>
    </w:p>
    <w:p w14:paraId="343945AB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1.4.1.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Remont oznakowania pionowego - zabiegi wykonywane w ramach utrzymania dróg, polegające na naprawie lub wymianie elementów znaków pionowych, obejmujących tarcze    i ich lica oraz konstrukcje wsporcze.</w:t>
      </w:r>
    </w:p>
    <w:p w14:paraId="143280FF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1.4.2.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określenia są zgodne z obowiązującymi, odpowiednimi polskimi normami  i  definicjami podanymi w OST D-M-00.00.00 „Wymagania ogólne”  i OST D-07.02.01 „Oznakowanie pionowe”.</w:t>
      </w:r>
    </w:p>
    <w:p w14:paraId="708B823D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1.5. Ogólne wymagania dotyczące robót</w:t>
      </w:r>
    </w:p>
    <w:p w14:paraId="3310429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wymagania dotyczące robót podano w OST D-M-00.00.00 „Wymagania ogólne” pkt 1.5. </w:t>
      </w:r>
    </w:p>
    <w:p w14:paraId="11D67771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4" w:name="_Toc420816681"/>
      <w:bookmarkStart w:id="25" w:name="_Toc495384942"/>
      <w:bookmarkStart w:id="26" w:name="_Toc495460368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2. materiały</w:t>
      </w:r>
      <w:bookmarkEnd w:id="24"/>
      <w:bookmarkEnd w:id="25"/>
      <w:bookmarkEnd w:id="26"/>
    </w:p>
    <w:p w14:paraId="6BB0D77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2.1. Ogólne wymagania dotyczące materiałów</w:t>
      </w:r>
    </w:p>
    <w:p w14:paraId="7A46803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materiałów, ich pozyskiwania i składowania podano w OST D-M-00.00.00 „Wymagania ogólne” pkt 2.</w:t>
      </w:r>
    </w:p>
    <w:p w14:paraId="7DB0A5CC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2.2. Wymagania dotyczące materiałów</w:t>
      </w:r>
    </w:p>
    <w:p w14:paraId="7CD586C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materiałów do remontu oznakowania pionowego powinny odpowiadać warunkom podanym w OST D-07.02.01 „Oznakowanie pionowe” pkt 2.</w:t>
      </w:r>
    </w:p>
    <w:p w14:paraId="269F9FDD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7" w:name="_Toc495460369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3. sprzęt</w:t>
      </w:r>
      <w:bookmarkEnd w:id="27"/>
    </w:p>
    <w:p w14:paraId="54C49D9A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3.1. Ogólne wymagania dotyczące sprzętu</w:t>
      </w:r>
    </w:p>
    <w:p w14:paraId="15DEFF4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sprzętu podano w OST D-M-00.00.00 „Wymagania ogólne” pkt 3.</w:t>
      </w:r>
    </w:p>
    <w:p w14:paraId="26F3201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3.2. Wymagania dotyczące sprzętu</w:t>
      </w:r>
    </w:p>
    <w:p w14:paraId="5822735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sprzętu do wykonania remontu oznakowania pionowego powinny odpowiadać warunkom podanym w OST D-07.02.01 „Oznakowanie pionowe”    pkt 3.</w:t>
      </w:r>
    </w:p>
    <w:p w14:paraId="3CAF7C7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Ze względu na stosunkowo mały zakres robót przy remoncie oznakowania pionowego (w porównaniu z oznakowaniem nowym), prace przy naprawie i wymianie znaków pionowych wykonuje się w dużym stopniu ręcznie.</w:t>
      </w:r>
    </w:p>
    <w:p w14:paraId="3345B87E" w14:textId="2345BDFA" w:rsidR="00931C51" w:rsidRPr="00931C51" w:rsidRDefault="00931C51" w:rsidP="000F2B49">
      <w:pPr>
        <w:keepNext/>
        <w:keepLines/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8" w:name="_Toc495460370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4. transport</w:t>
      </w:r>
      <w:bookmarkEnd w:id="28"/>
      <w:r w:rsidR="000F2B49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ab/>
      </w:r>
    </w:p>
    <w:p w14:paraId="14C3918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4.1. Ogólne wymagania dotyczące transportu</w:t>
      </w:r>
    </w:p>
    <w:p w14:paraId="2DB2435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transportu podano w OST D-M-00.00.00 „Wymagania ogólne” pkt 4.</w:t>
      </w:r>
    </w:p>
    <w:p w14:paraId="2ACDC735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4.2. Wymagania dotyczące transportu</w:t>
      </w:r>
    </w:p>
    <w:p w14:paraId="335FFFF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transportu do wykonywania remontu oznakowania pionowego powinny odpowiadać warunkom podanym w OST D-07.02.01 „Oznakowanie pionowe”    pkt 4.</w:t>
      </w:r>
    </w:p>
    <w:p w14:paraId="04EC6E8C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9" w:name="_Toc495460371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lastRenderedPageBreak/>
        <w:t>5. wykonanie robót</w:t>
      </w:r>
      <w:bookmarkEnd w:id="29"/>
    </w:p>
    <w:p w14:paraId="7D5997F8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5.1. Ogólne zasady wykonania robót</w:t>
      </w:r>
    </w:p>
    <w:p w14:paraId="7127FE4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wykonania robót podano w OST D-M-00.00.00 „Wymagania ogólne” pkt 5.</w:t>
      </w:r>
    </w:p>
    <w:p w14:paraId="2651D28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5.2. Zasady wykonania robót</w:t>
      </w:r>
    </w:p>
    <w:p w14:paraId="2C05CFC5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Zasady wykonania robót przy remoncie oznakowania pionowego powinny odpowiadać warunkom podanym w OST D-07.02.01 „Oznakowanie pionowe”  pkt 5 oraz spełniać warunki podane w dalszym ciągu.</w:t>
      </w:r>
    </w:p>
    <w:p w14:paraId="76008CC8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5.3. Roboty przygotowawcze</w:t>
      </w:r>
    </w:p>
    <w:p w14:paraId="0E25DB2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przystąpieniem do wykonywania robót należy określić:</w:t>
      </w:r>
    </w:p>
    <w:p w14:paraId="5D5542CE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znaku, który uległ uszkodzeniu (ostrzegawczy, zakazu i nakazu, informacyjny, inny),</w:t>
      </w:r>
    </w:p>
    <w:p w14:paraId="2AF0B84C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 znaku, który uległ uszkodzeniu (tarcza, konstrukcja wsporcza, fundament do zamocowania konstrukcji itp.),</w:t>
      </w:r>
    </w:p>
    <w:p w14:paraId="6FDAFED1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uszkodzenia, w zależności od którego można będzie ustalić zakres robót przy remoncie, np.:</w:t>
      </w:r>
    </w:p>
    <w:p w14:paraId="3F6E958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całego znaku,</w:t>
      </w:r>
    </w:p>
    <w:p w14:paraId="106A6031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tarczy znaku,</w:t>
      </w:r>
    </w:p>
    <w:p w14:paraId="5BF8E19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konstrukcji wsporczej (słupka),</w:t>
      </w:r>
    </w:p>
    <w:p w14:paraId="75F40525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drobna naprawa konstrukcji bez wymiany itp.,</w:t>
      </w:r>
    </w:p>
    <w:p w14:paraId="2D7656BA" w14:textId="77777777" w:rsidR="00931C51" w:rsidRPr="00931C51" w:rsidRDefault="00931C51" w:rsidP="00931C51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kolejność i sposób wykonania remontu, na które należy uzyskać akceptację Inżyniera.</w:t>
      </w:r>
    </w:p>
    <w:p w14:paraId="2FE9E1D5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5.4. Roboty rozbiórkowe</w:t>
      </w:r>
    </w:p>
    <w:p w14:paraId="3A896E1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 spełnieniu warunków zawartych w p. 5.1, 5.2, 5.3 można przystąpić do wykonania remontu rozpoczynając od robót rozbiórkowych uszkodzonych elementów znaku lub całego znaku, zgodnie z ustaleniami z Inżynierem co do sposobu i terminu wykonania remontu.</w:t>
      </w:r>
    </w:p>
    <w:p w14:paraId="455032CE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Elementy uszkodzone i zdemontowane należy odwieźć w miejsce uzgodnione z Inżynierem.</w:t>
      </w:r>
    </w:p>
    <w:p w14:paraId="30B9DE4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 wykonaniu robót rozbiórkowych (demontażu) można przystąpić do wymiany (zamontowania) znaków lub ich elementów.</w:t>
      </w:r>
    </w:p>
    <w:p w14:paraId="65904026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5.5. Rodzaje robót remontowych i sposób ich naprawy</w:t>
      </w:r>
    </w:p>
    <w:p w14:paraId="69F9D82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Następujące podstawowe usterki oznakowania pionowego wymagają napraw lub wymiany elementów:</w:t>
      </w:r>
    </w:p>
    <w:p w14:paraId="30E65504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konstrukcje wsporcze:</w:t>
      </w:r>
    </w:p>
    <w:p w14:paraId="0F58562B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słup jest zgięty, skręcony, złamany, spękany względnie brak jest całego słupa (słup wyprostować lub wymienić),</w:t>
      </w:r>
    </w:p>
    <w:p w14:paraId="4AEE6FA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słup jest odchylony od pozycji pionowej więcej niż 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1"/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1% (słup ustawić pionowo),</w:t>
      </w:r>
    </w:p>
    <w:p w14:paraId="383F7207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słup jest osadzony w fundamencie lub gruncie w sposób nietrwały (wzmocnić osadzenie słupa, ew. naprawić fundament),</w:t>
      </w:r>
    </w:p>
    <w:p w14:paraId="75064E2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konstrukcje wsporcze bramowe lub wysięgnikowe są niestabilne (dokręcić lub uzupełnić śruby kotwiące w fundamencie i wszystkie śruby, listwy, wkręty, nakrętki w łącznikach metalowych),</w:t>
      </w:r>
    </w:p>
    <w:p w14:paraId="0DF05528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tarcze znaków:</w:t>
      </w:r>
    </w:p>
    <w:p w14:paraId="57FF9B1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brak jest całej tarczy znaku lub została ona uszkodzona, zgięta lub złamana (zamontować nowa tarczę),</w:t>
      </w:r>
    </w:p>
    <w:p w14:paraId="03EDF76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symbole lub napisy na tarczy znaku są nieczytelne (w przypadku zabrudzenia tarczy - umyć ją, w przypadku zniszczenia symbolu lub napisu - tarczę odmalować lub wymienić),</w:t>
      </w:r>
    </w:p>
    <w:p w14:paraId="5B3A1FA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tarcza znaku jest zasłonięta przez inne znaki, konstrukcje lub roślinność (jeśli można, to usunąć przeszkodę zasłaniającą lub przestawić znak),</w:t>
      </w:r>
    </w:p>
    <w:p w14:paraId="5FDC808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lico znaku nie jest ustawione w przybliżeniu pod kątem prostym do nadjeżdżających pojazdów (ustawić prawidłowo),</w:t>
      </w:r>
    </w:p>
    <w:p w14:paraId="293BFD2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tarczy znaku nad terenem jest nieprawidłowa (skorygować wysokość tarczy, jeśli odchyłka w wysokości umieszczenia znaku wynosi więcej niż 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1"/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931C5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 cm</w:t>
        </w:r>
      </w:smartTag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7D6CBFC0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tarcza znaku nie znajduje się w położeniu pionowym, a krawędź górna i dolna nie jest ustawiona poziomo (skorygować ustawienie tarczy, zwykle przez poprawne ustawienie konstrukcji wsporczej),</w:t>
      </w:r>
    </w:p>
    <w:p w14:paraId="5005141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na metalowej tarczy znaku pojawiła się rdza (odrdzewić i pomalować tarczę lub ją wymienić),</w:t>
      </w:r>
    </w:p>
    <w:p w14:paraId="6DE1CE56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niewłaściwa jest odblaskowość (w nocy) znaku odblaskowego (wymienić folię odblaskową na tarczy lub całą tarczę),</w:t>
      </w:r>
    </w:p>
    <w:p w14:paraId="0AB5BAB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tylna strona tarczy znaku ma ubytki farby jak odpryski, pęcherze, złuszczenia (tarczę oczyścić i pomalować),</w:t>
      </w:r>
    </w:p>
    <w:p w14:paraId="78C8F9E2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prześwietlane i oświetlane (dodatkowe usterki związane z instalacją elektryczną):</w:t>
      </w:r>
    </w:p>
    <w:p w14:paraId="51275986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niewłaściwie ustawione są oprawy oświetleniowe znaku oświetlanego (uregulować kąt pochylenia opraw oświetleniowych w stosunku do tarczy znaku),</w:t>
      </w:r>
    </w:p>
    <w:p w14:paraId="6DA23E6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uszkodzone są oprawy oświetleniowe znaku oświetlanego, w tym zmatowiałe reflektory, popękane lub potłuczone elementy szklane, wadliwe uszczelki                     i bezpieczniki, brakuje śrub i nakrętek itp. (naprawić lub wymienić wadliwe elementy),</w:t>
      </w:r>
    </w:p>
    <w:p w14:paraId="04419FC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przepalone są źródła światła (wymienić żarówki lub świetlówki),</w:t>
      </w:r>
    </w:p>
    <w:p w14:paraId="649BA0E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zabrudzone są elementy oświetleniowe jak soczewki, reflektory, źródła światła (oczyścić przy okazji wymiany żarówek lub świetlówek; po czyszczeniu sprawdzić poprawność połączeń elektrycznych i mechanicznych),</w:t>
      </w:r>
    </w:p>
    <w:p w14:paraId="4177E727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uszkodzone są przewody elektryczne (naprawić lub wymienić fragmenty przewodów).</w:t>
      </w:r>
    </w:p>
    <w:p w14:paraId="2FEB8FF9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Nowy znak powinien być ustawiony zgodnie z wymaganiami Instrukcji o znakach drogowych pionowych [1].</w:t>
      </w:r>
    </w:p>
    <w:p w14:paraId="7AFEFDE6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Nowy znak lub jego wymieniony element musi spełniać takie same warunki w zakresie jakości, wielkości, rodzaju użytego materiału tarczy, konstrukcji wsporczych, fundamentów itp. jak pozostałe znaki występujące na tej drodze. Jakiekolwiek odstępstwa muszą być akceptowane przez Inżyniera.</w:t>
      </w:r>
    </w:p>
    <w:p w14:paraId="235F5479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Lokalizację wymienionego znaku można zmienić tylko za zgodą Inżyniera.</w:t>
      </w:r>
    </w:p>
    <w:p w14:paraId="1B38596F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Każdy wymieniony znak oraz wymieniona (naprawiana) konstrukcja wsporcza musi mieć tabliczkę znamionową, zgodnie z pktem 5.13 OST D-07.02.01 „Oznakowanie pionowe”.</w:t>
      </w:r>
    </w:p>
    <w:p w14:paraId="5BCBC8FF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0" w:name="_Toc420816685"/>
      <w:bookmarkStart w:id="31" w:name="_Toc495384946"/>
      <w:bookmarkStart w:id="32" w:name="_Toc495460372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6. kontrola jakości robót</w:t>
      </w:r>
      <w:bookmarkEnd w:id="30"/>
      <w:bookmarkEnd w:id="31"/>
      <w:bookmarkEnd w:id="32"/>
    </w:p>
    <w:p w14:paraId="33EAB807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6.1. Ogólne zasady kontroli jakości robót</w:t>
      </w:r>
    </w:p>
    <w:p w14:paraId="4EA2B2C4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kontroli jakości robót podano w OST D-M-00.00.00 „Wymagania ogólne” pkt 6.</w:t>
      </w:r>
    </w:p>
    <w:p w14:paraId="52B0FB51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6.2. Badania przed przystąpieniem do robót</w:t>
      </w:r>
    </w:p>
    <w:p w14:paraId="6AA644C4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przystąpieniem do robót remontowych Wykonawca powinien:</w:t>
      </w:r>
    </w:p>
    <w:p w14:paraId="07A8F417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uzyskać wymagane dokumenty dopuszczające wyroby budowlane do obrotu  i powszechnego stosowania (dotyczy aprobat technicznych, certyfikatów, deklaracji zgodności itp. materiałów przewidzianych do użycia przy remoncie),</w:t>
      </w:r>
    </w:p>
    <w:p w14:paraId="77A8C48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wykonać ewentualne badania właściwości materiałów, przewidziane w OST D-07.02.01 „Oznakowanie pionowe”,</w:t>
      </w:r>
    </w:p>
    <w:p w14:paraId="2087AB3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przedstawić dokumenty oraz ew. wyniki badań Inżynierowi do akceptacji.</w:t>
      </w:r>
    </w:p>
    <w:p w14:paraId="0FC0E7F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 Zasady kontroli jakości robót </w:t>
      </w:r>
    </w:p>
    <w:p w14:paraId="768F363B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Zasady kontroli jakości robót przy remoncie oznakowania pionowego powinny odpowiadać warunkom podanym w OST D-07.02.01 „Oznakowanie pionowe” pkt 6.</w:t>
      </w:r>
    </w:p>
    <w:p w14:paraId="6F207748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3" w:name="_Toc495384947"/>
      <w:bookmarkStart w:id="34" w:name="_Toc495460373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7. Obmiar robót</w:t>
      </w:r>
      <w:bookmarkEnd w:id="33"/>
      <w:bookmarkEnd w:id="34"/>
    </w:p>
    <w:p w14:paraId="4B8CFD1E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7.1. Ogólne zasady obmiaru robót</w:t>
      </w:r>
    </w:p>
    <w:p w14:paraId="7AD73A6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obmiaru robót podano w OST D-M-00.00.00 „Wymagania ogólne” pkt 7.</w:t>
      </w:r>
    </w:p>
    <w:p w14:paraId="2DE80E02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7.2. Jednostka obmiarowa</w:t>
      </w:r>
    </w:p>
    <w:p w14:paraId="3A6E29FC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Jednostkami obmiarowymi remontu oznakowania pionowego są:</w:t>
      </w:r>
    </w:p>
    <w:p w14:paraId="2F4D786C" w14:textId="77777777" w:rsidR="00931C51" w:rsidRPr="00931C51" w:rsidRDefault="00931C51" w:rsidP="00931C51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dla znaków konwencjonalnych:</w:t>
      </w:r>
    </w:p>
    <w:p w14:paraId="4A1192D6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tarczy znaku,</w:t>
      </w:r>
    </w:p>
    <w:p w14:paraId="1F3B0026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konstrukcji wsporczej (słupka),</w:t>
      </w:r>
    </w:p>
    <w:p w14:paraId="35817491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fundamentu prefabrykowanego,</w:t>
      </w:r>
    </w:p>
    <w:p w14:paraId="4261B272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sześcienny) dla rozebrania i wykonania fundamentu tradycyjnego,</w:t>
      </w:r>
    </w:p>
    <w:p w14:paraId="39079C1A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wymiany kompleksowej znaku (wszystkich elementów),</w:t>
      </w:r>
    </w:p>
    <w:p w14:paraId="73FC5F5E" w14:textId="77777777" w:rsidR="00931C51" w:rsidRPr="00931C51" w:rsidRDefault="00931C51" w:rsidP="00931C51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dla znaków tablicowych:</w:t>
      </w:r>
    </w:p>
    <w:p w14:paraId="33E395C1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tablic dla demontażu i montażu tablicy,</w:t>
      </w:r>
    </w:p>
    <w:p w14:paraId="3CF4E9A6" w14:textId="77777777" w:rsidR="00931C51" w:rsidRPr="00931C51" w:rsidRDefault="00931C51" w:rsidP="00931C51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tablic dla demontażu i montażu konstrukcji wsporczej,</w:t>
      </w:r>
    </w:p>
    <w:p w14:paraId="1AB46BA9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Mg (megagram) w przypadku demontażu i montażu konstrukcji bramowej,</w:t>
      </w:r>
    </w:p>
    <w:p w14:paraId="1692EA85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fundamentów prefabrykowanych,</w:t>
      </w:r>
    </w:p>
    <w:p w14:paraId="1D3BA5AB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sześcienny) dla rozebrania i wykonania fundamentów tradycyjnych,</w:t>
      </w:r>
    </w:p>
    <w:p w14:paraId="144F5130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wymiany kompleksowej znaku (wszystkich elementów).</w:t>
      </w:r>
    </w:p>
    <w:p w14:paraId="41EA5D87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5" w:name="_Toc495384948"/>
      <w:bookmarkStart w:id="36" w:name="_Toc495460374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8. odbiór robót</w:t>
      </w:r>
      <w:bookmarkEnd w:id="35"/>
      <w:bookmarkEnd w:id="36"/>
    </w:p>
    <w:p w14:paraId="5712DBA2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8.1. Ogólne zasady odbioru robót</w:t>
      </w:r>
    </w:p>
    <w:p w14:paraId="0980BCA8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odbioru robót podano w OST D-M-00.00.00 „Wymagania ogólne” pkt 8.</w:t>
      </w:r>
    </w:p>
    <w:p w14:paraId="2AD2349A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Roboty uznaje się za wykonane zgodnie z dokumentacją projektową, SST i wymaganiami Inżyniera, jeżeli wszystkie pomiary i badania, z zachowaniem tolerancji wg pkt 6, dały wyniki pozytywne.</w:t>
      </w:r>
    </w:p>
    <w:p w14:paraId="5D38BAEE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8.2. Odbiór ostateczny</w:t>
      </w:r>
    </w:p>
    <w:p w14:paraId="64682522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robót remontu oznakowania pionowego (poszczególnych znaków lub ich elementów) dokonywany jest na zasadzie odbioru ostatecznego.</w:t>
      </w:r>
    </w:p>
    <w:p w14:paraId="0A65800B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ostateczny powinien być dokonany na podstawie wyników pomiarów i badań jakościowych określonych w pktach 2, 5 i 6.</w:t>
      </w:r>
    </w:p>
    <w:p w14:paraId="72EDCEAE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8.3. Odbiór pogwarancyjny</w:t>
      </w:r>
    </w:p>
    <w:p w14:paraId="281EDB41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pogwarancyjnego należy dokonać po upływie okresu gwarancyjnego, ustalonego w SST.</w:t>
      </w:r>
    </w:p>
    <w:p w14:paraId="42CE11C6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7" w:name="_Toc495384949"/>
      <w:bookmarkStart w:id="38" w:name="_Toc495460375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9. podstawa płatności</w:t>
      </w:r>
      <w:bookmarkEnd w:id="37"/>
      <w:bookmarkEnd w:id="38"/>
    </w:p>
    <w:p w14:paraId="768CA581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9.1. Ogólne ustalenia dotyczące podstawy płatności</w:t>
      </w:r>
    </w:p>
    <w:p w14:paraId="0CB63822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ustalenia dotyczące podstawy płatności podano w OST D-M-00.00.00 „Wymagania ogólne” pkt 9.</w:t>
      </w:r>
    </w:p>
    <w:p w14:paraId="459423FA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9.2. Cena jednostki obmiarowej</w:t>
      </w:r>
    </w:p>
    <w:p w14:paraId="5F350D6D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jednostki obmiarowej obejmuje:</w:t>
      </w:r>
    </w:p>
    <w:p w14:paraId="1151061D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przygotowawcze,</w:t>
      </w:r>
    </w:p>
    <w:p w14:paraId="6C642F25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rozbiórkowe przy demontażu,</w:t>
      </w:r>
    </w:p>
    <w:p w14:paraId="5A718983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zdemontowanych elementów,</w:t>
      </w:r>
    </w:p>
    <w:p w14:paraId="50B55628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nowych elementów,</w:t>
      </w:r>
    </w:p>
    <w:p w14:paraId="57B72821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przy montażu nowych elementów.</w:t>
      </w:r>
    </w:p>
    <w:p w14:paraId="288B4D89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9" w:name="_Toc495384950"/>
      <w:bookmarkStart w:id="40" w:name="_Toc495460376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10. przepisy związane</w:t>
      </w:r>
      <w:bookmarkEnd w:id="39"/>
      <w:bookmarkEnd w:id="40"/>
    </w:p>
    <w:p w14:paraId="032A488E" w14:textId="77777777" w:rsidR="00931C51" w:rsidRPr="00931C51" w:rsidRDefault="00931C51" w:rsidP="00931C5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Instrukcja o znakach drogowych pionowych. Tom I. Zasady stosowania znaków i urządzeń bezpieczeństwa ruchu. Załącznik nr 1 do zarządzenia Ministra Transportu           i Gospodarki Morskiej z dnia 3 marca 1994 r. (Monitor Polski Nr 16, poz. 120)</w:t>
      </w:r>
    </w:p>
    <w:p w14:paraId="082E2384" w14:textId="77777777" w:rsidR="00931C51" w:rsidRPr="00931C51" w:rsidRDefault="00931C51" w:rsidP="00931C5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obowiązują normy i inne dokumenty wymienione w OST D-07.02.01 „Oznakowanie pionowe”.</w:t>
      </w:r>
    </w:p>
    <w:p w14:paraId="0FE09DF3" w14:textId="7702D772" w:rsidR="00E60D52" w:rsidRDefault="00E60D52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55E12A2" w14:textId="77777777" w:rsidR="00E60D52" w:rsidRPr="00E60D52" w:rsidRDefault="00E60D52" w:rsidP="00E60D52">
      <w:pPr>
        <w:rPr>
          <w:rFonts w:ascii="Arial" w:hAnsi="Arial" w:cs="Arial"/>
        </w:rPr>
      </w:pPr>
    </w:p>
    <w:p w14:paraId="75307B73" w14:textId="77777777" w:rsidR="00E60D52" w:rsidRPr="00E60D52" w:rsidRDefault="00E60D52" w:rsidP="00E60D52">
      <w:pPr>
        <w:rPr>
          <w:rFonts w:ascii="Arial" w:hAnsi="Arial" w:cs="Arial"/>
        </w:rPr>
      </w:pPr>
    </w:p>
    <w:p w14:paraId="02B8C8FD" w14:textId="77777777" w:rsidR="00E60D52" w:rsidRPr="00E60D52" w:rsidRDefault="00E60D52" w:rsidP="00E60D52">
      <w:pPr>
        <w:rPr>
          <w:rFonts w:ascii="Arial" w:hAnsi="Arial" w:cs="Arial"/>
        </w:rPr>
      </w:pPr>
    </w:p>
    <w:p w14:paraId="47670EAE" w14:textId="77777777" w:rsidR="00E60D52" w:rsidRPr="00E60D52" w:rsidRDefault="00E60D52" w:rsidP="00E60D52">
      <w:pPr>
        <w:rPr>
          <w:rFonts w:ascii="Arial" w:hAnsi="Arial" w:cs="Arial"/>
        </w:rPr>
      </w:pPr>
    </w:p>
    <w:p w14:paraId="58722A6E" w14:textId="77777777" w:rsidR="00E60D52" w:rsidRPr="00E60D52" w:rsidRDefault="00E60D52" w:rsidP="00E60D52">
      <w:pPr>
        <w:rPr>
          <w:rFonts w:ascii="Arial" w:hAnsi="Arial" w:cs="Arial"/>
        </w:rPr>
      </w:pPr>
    </w:p>
    <w:p w14:paraId="4028AE50" w14:textId="7EE5E8B9" w:rsidR="00931C51" w:rsidRPr="00E60D52" w:rsidRDefault="00931C51" w:rsidP="00E60D52">
      <w:pPr>
        <w:tabs>
          <w:tab w:val="left" w:pos="6885"/>
        </w:tabs>
        <w:rPr>
          <w:rFonts w:ascii="Arial" w:hAnsi="Arial" w:cs="Arial"/>
        </w:rPr>
      </w:pPr>
    </w:p>
    <w:sectPr w:rsidR="00931C51" w:rsidRPr="00E60D52" w:rsidSect="009F40FF">
      <w:headerReference w:type="default" r:id="rId1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CA8F" w14:textId="77777777" w:rsidR="00816D41" w:rsidRDefault="00816D41" w:rsidP="00FD0A56">
      <w:pPr>
        <w:spacing w:after="0" w:line="240" w:lineRule="auto"/>
      </w:pPr>
      <w:r>
        <w:separator/>
      </w:r>
    </w:p>
  </w:endnote>
  <w:endnote w:type="continuationSeparator" w:id="0">
    <w:p w14:paraId="0DDCF47D" w14:textId="77777777" w:rsidR="00816D41" w:rsidRDefault="00816D41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494D" w14:textId="77777777" w:rsidR="004E17EB" w:rsidRDefault="004E1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132323"/>
      <w:docPartObj>
        <w:docPartGallery w:val="Page Numbers (Bottom of Page)"/>
        <w:docPartUnique/>
      </w:docPartObj>
    </w:sdtPr>
    <w:sdtEndPr/>
    <w:sdtContent>
      <w:sdt>
        <w:sdtPr>
          <w:id w:val="1552801620"/>
          <w:docPartObj>
            <w:docPartGallery w:val="Page Numbers (Top of Page)"/>
            <w:docPartUnique/>
          </w:docPartObj>
        </w:sdtPr>
        <w:sdtEndPr/>
        <w:sdtContent>
          <w:p w14:paraId="072D8A94" w14:textId="77777777" w:rsidR="004E17EB" w:rsidRPr="000F3844" w:rsidRDefault="004E17EB" w:rsidP="00E60D52">
            <w:pPr>
              <w:pStyle w:val="Stopka"/>
              <w:pBdr>
                <w:top w:val="thinThickSmallGap" w:sz="24" w:space="1" w:color="823B0B"/>
              </w:pBdr>
              <w:ind w:left="1418" w:hanging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Część III SIWZ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3844">
              <w:rPr>
                <w:rFonts w:ascii="Arial" w:hAnsi="Arial" w:cs="Arial"/>
                <w:sz w:val="18"/>
                <w:szCs w:val="18"/>
              </w:rPr>
              <w:t xml:space="preserve">Konserwacja i utrzymanie oznakowania pionowego oraz poziomego na ulicach gminnych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F3844">
              <w:rPr>
                <w:rFonts w:ascii="Arial" w:hAnsi="Arial" w:cs="Arial"/>
                <w:sz w:val="18"/>
                <w:szCs w:val="18"/>
              </w:rPr>
              <w:t>i drogach wewnętrznych w granicach administracyjnych miasta Kołobrzeg”</w:t>
            </w:r>
          </w:p>
          <w:p w14:paraId="7929FFCB" w14:textId="77777777" w:rsidR="004E17EB" w:rsidRDefault="004E17EB" w:rsidP="00E60D52">
            <w:pPr>
              <w:pStyle w:val="Stopka"/>
              <w:jc w:val="right"/>
            </w:pPr>
          </w:p>
          <w:p w14:paraId="5B46F925" w14:textId="35C79E0F" w:rsidR="004E17EB" w:rsidRDefault="004E17EB" w:rsidP="00E60D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1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142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FFD748" w14:textId="3860050D" w:rsidR="004E17EB" w:rsidRDefault="004E17EB" w:rsidP="007E1FC8">
    <w:pPr>
      <w:pStyle w:val="Stopka"/>
      <w:tabs>
        <w:tab w:val="clear" w:pos="4536"/>
        <w:tab w:val="clear" w:pos="9072"/>
        <w:tab w:val="left" w:pos="37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882"/>
      <w:docPartObj>
        <w:docPartGallery w:val="Page Numbers (Bottom of Page)"/>
        <w:docPartUnique/>
      </w:docPartObj>
    </w:sdtPr>
    <w:sdtEndPr/>
    <w:sdtContent>
      <w:sdt>
        <w:sdtPr>
          <w:id w:val="-1948684219"/>
          <w:docPartObj>
            <w:docPartGallery w:val="Page Numbers (Top of Page)"/>
            <w:docPartUnique/>
          </w:docPartObj>
        </w:sdtPr>
        <w:sdtEndPr/>
        <w:sdtContent>
          <w:p w14:paraId="0FB044E5" w14:textId="77777777" w:rsidR="004E17EB" w:rsidRPr="000F3844" w:rsidRDefault="004E17EB" w:rsidP="00E60D52">
            <w:pPr>
              <w:pStyle w:val="Stopka"/>
              <w:pBdr>
                <w:top w:val="thinThickSmallGap" w:sz="24" w:space="1" w:color="823B0B"/>
              </w:pBdr>
              <w:ind w:left="1418" w:hanging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Część III SIWZ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3844">
              <w:rPr>
                <w:rFonts w:ascii="Arial" w:hAnsi="Arial" w:cs="Arial"/>
                <w:sz w:val="18"/>
                <w:szCs w:val="18"/>
              </w:rPr>
              <w:t xml:space="preserve">Konserwacja i utrzymanie oznakowania pionowego oraz poziomego na ulicach gminnych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F3844">
              <w:rPr>
                <w:rFonts w:ascii="Arial" w:hAnsi="Arial" w:cs="Arial"/>
                <w:sz w:val="18"/>
                <w:szCs w:val="18"/>
              </w:rPr>
              <w:t>i drogach wewnętrznych w granicach administracyjnych miasta Kołobrzeg”</w:t>
            </w:r>
          </w:p>
          <w:p w14:paraId="703D8AD2" w14:textId="77777777" w:rsidR="004E17EB" w:rsidRDefault="004E17EB">
            <w:pPr>
              <w:pStyle w:val="Stopka"/>
              <w:jc w:val="right"/>
            </w:pPr>
          </w:p>
          <w:p w14:paraId="1E0B7B34" w14:textId="0C8A1216" w:rsidR="004E17EB" w:rsidRDefault="004E17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19ACC" w14:textId="77777777" w:rsidR="00816D41" w:rsidRDefault="00816D41" w:rsidP="00FD0A56">
      <w:pPr>
        <w:spacing w:after="0" w:line="240" w:lineRule="auto"/>
      </w:pPr>
      <w:r>
        <w:separator/>
      </w:r>
    </w:p>
  </w:footnote>
  <w:footnote w:type="continuationSeparator" w:id="0">
    <w:p w14:paraId="2D0E442D" w14:textId="77777777" w:rsidR="00816D41" w:rsidRDefault="00816D41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8093" w14:textId="77777777" w:rsidR="004E17EB" w:rsidRDefault="004E1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585E" w14:textId="77777777" w:rsidR="004E17EB" w:rsidRDefault="004E17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0958" w14:textId="77777777" w:rsidR="004E17EB" w:rsidRDefault="004E17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94C3" w14:textId="77777777" w:rsidR="004E17EB" w:rsidRPr="00626361" w:rsidRDefault="004E17EB" w:rsidP="00A741D0">
    <w:pPr>
      <w:tabs>
        <w:tab w:val="left" w:pos="311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trike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60E52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A03A822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D"/>
    <w:multiLevelType w:val="multilevel"/>
    <w:tmpl w:val="4DEE0690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2A6D9A"/>
    <w:multiLevelType w:val="hybridMultilevel"/>
    <w:tmpl w:val="942CE7E4"/>
    <w:lvl w:ilvl="0" w:tplc="3CECA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84164"/>
    <w:multiLevelType w:val="hybridMultilevel"/>
    <w:tmpl w:val="156E5EC6"/>
    <w:lvl w:ilvl="0" w:tplc="C93CA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B2CC2"/>
    <w:multiLevelType w:val="hybridMultilevel"/>
    <w:tmpl w:val="CB62F3CE"/>
    <w:lvl w:ilvl="0" w:tplc="6450F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6D1507"/>
    <w:multiLevelType w:val="hybridMultilevel"/>
    <w:tmpl w:val="8632B9EA"/>
    <w:lvl w:ilvl="0" w:tplc="295AD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5E3460"/>
    <w:multiLevelType w:val="singleLevel"/>
    <w:tmpl w:val="12FCC3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AC55C46"/>
    <w:multiLevelType w:val="hybridMultilevel"/>
    <w:tmpl w:val="F11695D2"/>
    <w:lvl w:ilvl="0" w:tplc="660E9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F18D3"/>
    <w:multiLevelType w:val="hybridMultilevel"/>
    <w:tmpl w:val="DA5EE814"/>
    <w:lvl w:ilvl="0" w:tplc="60FAB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C127F1"/>
    <w:multiLevelType w:val="hybridMultilevel"/>
    <w:tmpl w:val="6F4C4232"/>
    <w:lvl w:ilvl="0" w:tplc="18D4B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C35A57"/>
    <w:multiLevelType w:val="hybridMultilevel"/>
    <w:tmpl w:val="FD180640"/>
    <w:lvl w:ilvl="0" w:tplc="E7D2F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217BE"/>
    <w:multiLevelType w:val="hybridMultilevel"/>
    <w:tmpl w:val="9E9A2094"/>
    <w:lvl w:ilvl="0" w:tplc="DCCC2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52562"/>
    <w:multiLevelType w:val="hybridMultilevel"/>
    <w:tmpl w:val="88443AA8"/>
    <w:lvl w:ilvl="0" w:tplc="F3244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153F2F"/>
    <w:multiLevelType w:val="hybridMultilevel"/>
    <w:tmpl w:val="37400880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4136AB"/>
    <w:multiLevelType w:val="singleLevel"/>
    <w:tmpl w:val="DFFEB8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7" w15:restartNumberingAfterBreak="0">
    <w:nsid w:val="1D1F699F"/>
    <w:multiLevelType w:val="hybridMultilevel"/>
    <w:tmpl w:val="B880971A"/>
    <w:lvl w:ilvl="0" w:tplc="376E012C">
      <w:start w:val="1"/>
      <w:numFmt w:val="decimal"/>
      <w:lvlText w:val="%1"/>
      <w:legacy w:legacy="1" w:legacySpace="120" w:legacyIndent="360"/>
      <w:lvlJc w:val="left"/>
      <w:pPr>
        <w:ind w:left="0" w:firstLine="0"/>
      </w:pPr>
    </w:lvl>
    <w:lvl w:ilvl="1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46D39"/>
    <w:multiLevelType w:val="hybridMultilevel"/>
    <w:tmpl w:val="20B665A4"/>
    <w:lvl w:ilvl="0" w:tplc="1C0A0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5792E"/>
    <w:multiLevelType w:val="hybridMultilevel"/>
    <w:tmpl w:val="6622A256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0B6AB1"/>
    <w:multiLevelType w:val="hybridMultilevel"/>
    <w:tmpl w:val="9948CA44"/>
    <w:lvl w:ilvl="0" w:tplc="16066A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C13F3A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1880C42"/>
    <w:multiLevelType w:val="hybridMultilevel"/>
    <w:tmpl w:val="6DA002AE"/>
    <w:lvl w:ilvl="0" w:tplc="163A2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525CF3"/>
    <w:multiLevelType w:val="hybridMultilevel"/>
    <w:tmpl w:val="43207E06"/>
    <w:lvl w:ilvl="0" w:tplc="346A3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AE2966"/>
    <w:multiLevelType w:val="hybridMultilevel"/>
    <w:tmpl w:val="3A124358"/>
    <w:lvl w:ilvl="0" w:tplc="EE549A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65928"/>
    <w:multiLevelType w:val="hybridMultilevel"/>
    <w:tmpl w:val="308CB8F6"/>
    <w:lvl w:ilvl="0" w:tplc="B1CA4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160D3A"/>
    <w:multiLevelType w:val="hybridMultilevel"/>
    <w:tmpl w:val="487EA1FC"/>
    <w:lvl w:ilvl="0" w:tplc="ED906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F82929"/>
    <w:multiLevelType w:val="hybridMultilevel"/>
    <w:tmpl w:val="DFDEC88E"/>
    <w:lvl w:ilvl="0" w:tplc="842E5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1D2E4B"/>
    <w:multiLevelType w:val="hybridMultilevel"/>
    <w:tmpl w:val="D9DECEB0"/>
    <w:lvl w:ilvl="0" w:tplc="187A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83473D"/>
    <w:multiLevelType w:val="hybridMultilevel"/>
    <w:tmpl w:val="64987BD6"/>
    <w:lvl w:ilvl="0" w:tplc="46CC755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32068C"/>
    <w:multiLevelType w:val="hybridMultilevel"/>
    <w:tmpl w:val="C67061AA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5E465D"/>
    <w:multiLevelType w:val="hybridMultilevel"/>
    <w:tmpl w:val="D92AB5A6"/>
    <w:lvl w:ilvl="0" w:tplc="3A1A7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48A4474"/>
    <w:multiLevelType w:val="hybridMultilevel"/>
    <w:tmpl w:val="90603B60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334CF"/>
    <w:multiLevelType w:val="singleLevel"/>
    <w:tmpl w:val="376E012C"/>
    <w:lvl w:ilvl="0">
      <w:start w:val="1"/>
      <w:numFmt w:val="decimal"/>
      <w:lvlText w:val="%1"/>
      <w:legacy w:legacy="1" w:legacySpace="120" w:legacyIndent="360"/>
      <w:lvlJc w:val="left"/>
      <w:pPr>
        <w:ind w:left="0" w:firstLine="0"/>
      </w:pPr>
    </w:lvl>
  </w:abstractNum>
  <w:abstractNum w:abstractNumId="36" w15:restartNumberingAfterBreak="0">
    <w:nsid w:val="3AAD2DC6"/>
    <w:multiLevelType w:val="hybridMultilevel"/>
    <w:tmpl w:val="674C6D54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B15754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3F7B231D"/>
    <w:multiLevelType w:val="hybridMultilevel"/>
    <w:tmpl w:val="0FA44F02"/>
    <w:lvl w:ilvl="0" w:tplc="FB081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2A189F"/>
    <w:multiLevelType w:val="hybridMultilevel"/>
    <w:tmpl w:val="CEAAF970"/>
    <w:lvl w:ilvl="0" w:tplc="41A6F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C36326"/>
    <w:multiLevelType w:val="hybridMultilevel"/>
    <w:tmpl w:val="0D5E199A"/>
    <w:lvl w:ilvl="0" w:tplc="7D302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8D21E1"/>
    <w:multiLevelType w:val="hybridMultilevel"/>
    <w:tmpl w:val="5D84EA82"/>
    <w:lvl w:ilvl="0" w:tplc="0B3AF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6D735C6"/>
    <w:multiLevelType w:val="hybridMultilevel"/>
    <w:tmpl w:val="F54CF682"/>
    <w:lvl w:ilvl="0" w:tplc="68D8C84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166F57"/>
    <w:multiLevelType w:val="hybridMultilevel"/>
    <w:tmpl w:val="47AC0926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861169"/>
    <w:multiLevelType w:val="hybridMultilevel"/>
    <w:tmpl w:val="11D43898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C91193"/>
    <w:multiLevelType w:val="hybridMultilevel"/>
    <w:tmpl w:val="1818C5C0"/>
    <w:lvl w:ilvl="0" w:tplc="C1184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333E21"/>
    <w:multiLevelType w:val="hybridMultilevel"/>
    <w:tmpl w:val="32EE2818"/>
    <w:lvl w:ilvl="0" w:tplc="E28E0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D902120"/>
    <w:multiLevelType w:val="hybridMultilevel"/>
    <w:tmpl w:val="5A28381A"/>
    <w:lvl w:ilvl="0" w:tplc="1FF8D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6F5741"/>
    <w:multiLevelType w:val="hybridMultilevel"/>
    <w:tmpl w:val="95263C22"/>
    <w:lvl w:ilvl="0" w:tplc="5CF80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15424"/>
    <w:multiLevelType w:val="hybridMultilevel"/>
    <w:tmpl w:val="20CEE372"/>
    <w:lvl w:ilvl="0" w:tplc="1B3C2A8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C2646B4"/>
    <w:multiLevelType w:val="hybridMultilevel"/>
    <w:tmpl w:val="58BEFF50"/>
    <w:lvl w:ilvl="0" w:tplc="5E60F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1058AF"/>
    <w:multiLevelType w:val="hybridMultilevel"/>
    <w:tmpl w:val="FB0CBFCC"/>
    <w:lvl w:ilvl="0" w:tplc="C2A6F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513C5D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747463A9"/>
    <w:multiLevelType w:val="hybridMultilevel"/>
    <w:tmpl w:val="1CA2D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72DC9"/>
    <w:multiLevelType w:val="hybridMultilevel"/>
    <w:tmpl w:val="8034E1E0"/>
    <w:lvl w:ilvl="0" w:tplc="6A7CA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D56604"/>
    <w:multiLevelType w:val="singleLevel"/>
    <w:tmpl w:val="184EF1E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6" w15:restartNumberingAfterBreak="0">
    <w:nsid w:val="75DE2284"/>
    <w:multiLevelType w:val="hybridMultilevel"/>
    <w:tmpl w:val="B576ED52"/>
    <w:lvl w:ilvl="0" w:tplc="3C9C8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6D76EF"/>
    <w:multiLevelType w:val="hybridMultilevel"/>
    <w:tmpl w:val="E5047AF0"/>
    <w:lvl w:ilvl="0" w:tplc="CE7CE422">
      <w:start w:val="7"/>
      <w:numFmt w:val="decimal"/>
      <w:lvlText w:val="%1."/>
      <w:lvlJc w:val="right"/>
      <w:pPr>
        <w:tabs>
          <w:tab w:val="num" w:pos="1021"/>
        </w:tabs>
        <w:ind w:left="102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0E2756"/>
    <w:multiLevelType w:val="hybridMultilevel"/>
    <w:tmpl w:val="AD7C11F8"/>
    <w:lvl w:ilvl="0" w:tplc="B1A0D1C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5C36E5"/>
    <w:multiLevelType w:val="hybridMultilevel"/>
    <w:tmpl w:val="B5E0F322"/>
    <w:lvl w:ilvl="0" w:tplc="7AFC8F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515EB1"/>
    <w:multiLevelType w:val="hybridMultilevel"/>
    <w:tmpl w:val="A5B83376"/>
    <w:lvl w:ilvl="0" w:tplc="0046E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21C7F"/>
    <w:multiLevelType w:val="singleLevel"/>
    <w:tmpl w:val="B0D0A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53"/>
  </w:num>
  <w:num w:numId="3">
    <w:abstractNumId w:val="2"/>
  </w:num>
  <w:num w:numId="4">
    <w:abstractNumId w:val="49"/>
  </w:num>
  <w:num w:numId="5">
    <w:abstractNumId w:val="30"/>
  </w:num>
  <w:num w:numId="6">
    <w:abstractNumId w:val="48"/>
  </w:num>
  <w:num w:numId="7">
    <w:abstractNumId w:val="5"/>
  </w:num>
  <w:num w:numId="8">
    <w:abstractNumId w:val="56"/>
  </w:num>
  <w:num w:numId="9">
    <w:abstractNumId w:val="20"/>
  </w:num>
  <w:num w:numId="10">
    <w:abstractNumId w:val="32"/>
  </w:num>
  <w:num w:numId="11">
    <w:abstractNumId w:val="18"/>
  </w:num>
  <w:num w:numId="12">
    <w:abstractNumId w:val="41"/>
  </w:num>
  <w:num w:numId="13">
    <w:abstractNumId w:val="26"/>
  </w:num>
  <w:num w:numId="14">
    <w:abstractNumId w:val="22"/>
  </w:num>
  <w:num w:numId="15">
    <w:abstractNumId w:val="58"/>
  </w:num>
  <w:num w:numId="16">
    <w:abstractNumId w:val="29"/>
  </w:num>
  <w:num w:numId="17">
    <w:abstractNumId w:val="24"/>
  </w:num>
  <w:num w:numId="18">
    <w:abstractNumId w:val="42"/>
  </w:num>
  <w:num w:numId="19">
    <w:abstractNumId w:val="3"/>
  </w:num>
  <w:num w:numId="20">
    <w:abstractNumId w:val="8"/>
  </w:num>
  <w:num w:numId="21">
    <w:abstractNumId w:val="50"/>
  </w:num>
  <w:num w:numId="22">
    <w:abstractNumId w:val="54"/>
  </w:num>
  <w:num w:numId="23">
    <w:abstractNumId w:val="40"/>
  </w:num>
  <w:num w:numId="24">
    <w:abstractNumId w:val="45"/>
  </w:num>
  <w:num w:numId="25">
    <w:abstractNumId w:val="46"/>
  </w:num>
  <w:num w:numId="26">
    <w:abstractNumId w:val="38"/>
  </w:num>
  <w:num w:numId="27">
    <w:abstractNumId w:val="10"/>
  </w:num>
  <w:num w:numId="28">
    <w:abstractNumId w:val="13"/>
  </w:num>
  <w:num w:numId="29">
    <w:abstractNumId w:val="14"/>
  </w:num>
  <w:num w:numId="30">
    <w:abstractNumId w:val="47"/>
  </w:num>
  <w:num w:numId="31">
    <w:abstractNumId w:val="27"/>
  </w:num>
  <w:num w:numId="32">
    <w:abstractNumId w:val="9"/>
  </w:num>
  <w:num w:numId="33">
    <w:abstractNumId w:val="28"/>
  </w:num>
  <w:num w:numId="34">
    <w:abstractNumId w:val="51"/>
  </w:num>
  <w:num w:numId="35">
    <w:abstractNumId w:val="23"/>
  </w:num>
  <w:num w:numId="36">
    <w:abstractNumId w:val="6"/>
  </w:num>
  <w:num w:numId="37">
    <w:abstractNumId w:val="61"/>
  </w:num>
  <w:num w:numId="38">
    <w:abstractNumId w:val="4"/>
  </w:num>
  <w:num w:numId="39">
    <w:abstractNumId w:val="11"/>
  </w:num>
  <w:num w:numId="40">
    <w:abstractNumId w:val="39"/>
  </w:num>
  <w:num w:numId="41">
    <w:abstractNumId w:val="60"/>
  </w:num>
  <w:num w:numId="4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3">
    <w:abstractNumId w:val="7"/>
    <w:lvlOverride w:ilvl="0">
      <w:startOverride w:val="1"/>
    </w:lvlOverride>
  </w:num>
  <w:num w:numId="4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5">
    <w:abstractNumId w:val="16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2"/>
    </w:lvlOverride>
  </w:num>
  <w:num w:numId="59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  <w:sz w:val="24"/>
        </w:rPr>
      </w:lvl>
    </w:lvlOverride>
  </w:num>
  <w:num w:numId="62">
    <w:abstractNumId w:val="52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21"/>
  </w:num>
  <w:num w:numId="64">
    <w:abstractNumId w:val="37"/>
  </w:num>
  <w:num w:numId="65">
    <w:abstractNumId w:val="0"/>
  </w:num>
  <w:num w:numId="66">
    <w:abstractNumId w:val="0"/>
    <w:lvlOverride w:ilvl="0">
      <w:lvl w:ilvl="0">
        <w:start w:val="1"/>
        <w:numFmt w:val="bullet"/>
        <w:lvlText w:val="-"/>
        <w:legacy w:legacy="1" w:legacySpace="0" w:legacyIndent="113"/>
        <w:lvlJc w:val="left"/>
        <w:pPr>
          <w:ind w:left="397" w:hanging="113"/>
        </w:pPr>
        <w:rPr>
          <w:rFonts w:ascii="Bookman Old Style" w:hAnsi="Bookman Old Style" w:hint="default"/>
          <w:sz w:val="24"/>
        </w:rPr>
      </w:lvl>
    </w:lvlOverride>
  </w:num>
  <w:num w:numId="67">
    <w:abstractNumId w:val="62"/>
  </w:num>
  <w:num w:numId="68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43D8"/>
    <w:rsid w:val="00007B8B"/>
    <w:rsid w:val="00017217"/>
    <w:rsid w:val="000236F1"/>
    <w:rsid w:val="00023EE2"/>
    <w:rsid w:val="00024920"/>
    <w:rsid w:val="000255CE"/>
    <w:rsid w:val="000400AE"/>
    <w:rsid w:val="00047D51"/>
    <w:rsid w:val="0005619F"/>
    <w:rsid w:val="0006003F"/>
    <w:rsid w:val="00062D4A"/>
    <w:rsid w:val="000637B2"/>
    <w:rsid w:val="0006527C"/>
    <w:rsid w:val="000673D4"/>
    <w:rsid w:val="00072D73"/>
    <w:rsid w:val="00075D7D"/>
    <w:rsid w:val="00077FED"/>
    <w:rsid w:val="000813E2"/>
    <w:rsid w:val="0008254D"/>
    <w:rsid w:val="000856CA"/>
    <w:rsid w:val="00086EFD"/>
    <w:rsid w:val="000A2485"/>
    <w:rsid w:val="000A6E87"/>
    <w:rsid w:val="000B0F7F"/>
    <w:rsid w:val="000B3218"/>
    <w:rsid w:val="000B3668"/>
    <w:rsid w:val="000D5397"/>
    <w:rsid w:val="000E7C04"/>
    <w:rsid w:val="000F2B49"/>
    <w:rsid w:val="000F3844"/>
    <w:rsid w:val="000F5AD2"/>
    <w:rsid w:val="001000E4"/>
    <w:rsid w:val="001070EF"/>
    <w:rsid w:val="00114A36"/>
    <w:rsid w:val="00116CAE"/>
    <w:rsid w:val="00131CF8"/>
    <w:rsid w:val="00133154"/>
    <w:rsid w:val="001453B6"/>
    <w:rsid w:val="001658DD"/>
    <w:rsid w:val="00172056"/>
    <w:rsid w:val="00172D0A"/>
    <w:rsid w:val="001830C4"/>
    <w:rsid w:val="001842B9"/>
    <w:rsid w:val="001979CC"/>
    <w:rsid w:val="00197F9B"/>
    <w:rsid w:val="001A7C62"/>
    <w:rsid w:val="001B2B6E"/>
    <w:rsid w:val="001B404A"/>
    <w:rsid w:val="001E62D1"/>
    <w:rsid w:val="001F0D13"/>
    <w:rsid w:val="001F2FFA"/>
    <w:rsid w:val="001F4A50"/>
    <w:rsid w:val="001F7FC2"/>
    <w:rsid w:val="00201ADC"/>
    <w:rsid w:val="0020539B"/>
    <w:rsid w:val="0020541A"/>
    <w:rsid w:val="00222354"/>
    <w:rsid w:val="002304D4"/>
    <w:rsid w:val="0023065F"/>
    <w:rsid w:val="00261195"/>
    <w:rsid w:val="002621AF"/>
    <w:rsid w:val="00270F07"/>
    <w:rsid w:val="00275EE2"/>
    <w:rsid w:val="002861E9"/>
    <w:rsid w:val="002925A6"/>
    <w:rsid w:val="00293962"/>
    <w:rsid w:val="00293F8F"/>
    <w:rsid w:val="00297FDC"/>
    <w:rsid w:val="002C0CBE"/>
    <w:rsid w:val="002C2F23"/>
    <w:rsid w:val="002C5739"/>
    <w:rsid w:val="002C61A8"/>
    <w:rsid w:val="002D73B6"/>
    <w:rsid w:val="002E1919"/>
    <w:rsid w:val="002F18ED"/>
    <w:rsid w:val="002F6E73"/>
    <w:rsid w:val="00305A04"/>
    <w:rsid w:val="00307242"/>
    <w:rsid w:val="0032083D"/>
    <w:rsid w:val="00323DE6"/>
    <w:rsid w:val="0034065C"/>
    <w:rsid w:val="00341F29"/>
    <w:rsid w:val="00343FC7"/>
    <w:rsid w:val="00345484"/>
    <w:rsid w:val="003455E3"/>
    <w:rsid w:val="0035094F"/>
    <w:rsid w:val="003549F9"/>
    <w:rsid w:val="0036094B"/>
    <w:rsid w:val="00367079"/>
    <w:rsid w:val="00371AD3"/>
    <w:rsid w:val="00380999"/>
    <w:rsid w:val="00382A11"/>
    <w:rsid w:val="00383A30"/>
    <w:rsid w:val="00385E28"/>
    <w:rsid w:val="00386C12"/>
    <w:rsid w:val="003878CC"/>
    <w:rsid w:val="0039019C"/>
    <w:rsid w:val="00391A1C"/>
    <w:rsid w:val="00396ABA"/>
    <w:rsid w:val="003A3A95"/>
    <w:rsid w:val="003A7CAF"/>
    <w:rsid w:val="003B3C1A"/>
    <w:rsid w:val="003B559E"/>
    <w:rsid w:val="003C419A"/>
    <w:rsid w:val="003C703A"/>
    <w:rsid w:val="003C7510"/>
    <w:rsid w:val="003D20CE"/>
    <w:rsid w:val="003D3C42"/>
    <w:rsid w:val="003D4CD2"/>
    <w:rsid w:val="003D50E0"/>
    <w:rsid w:val="003F2401"/>
    <w:rsid w:val="004000BF"/>
    <w:rsid w:val="00406B89"/>
    <w:rsid w:val="00416B11"/>
    <w:rsid w:val="00421389"/>
    <w:rsid w:val="004222FF"/>
    <w:rsid w:val="00423E38"/>
    <w:rsid w:val="00433E81"/>
    <w:rsid w:val="0045177B"/>
    <w:rsid w:val="00451D94"/>
    <w:rsid w:val="00452AB9"/>
    <w:rsid w:val="004631EF"/>
    <w:rsid w:val="00474B25"/>
    <w:rsid w:val="00481926"/>
    <w:rsid w:val="00482AB2"/>
    <w:rsid w:val="00485CA2"/>
    <w:rsid w:val="00491080"/>
    <w:rsid w:val="00494FEA"/>
    <w:rsid w:val="004A0079"/>
    <w:rsid w:val="004A6C23"/>
    <w:rsid w:val="004A732A"/>
    <w:rsid w:val="004B204A"/>
    <w:rsid w:val="004C05C3"/>
    <w:rsid w:val="004C4BCC"/>
    <w:rsid w:val="004C5726"/>
    <w:rsid w:val="004C73B3"/>
    <w:rsid w:val="004D0486"/>
    <w:rsid w:val="004D6E67"/>
    <w:rsid w:val="004E17EB"/>
    <w:rsid w:val="004E2CFB"/>
    <w:rsid w:val="004E3075"/>
    <w:rsid w:val="004E4600"/>
    <w:rsid w:val="004E478C"/>
    <w:rsid w:val="004F12C0"/>
    <w:rsid w:val="004F4A95"/>
    <w:rsid w:val="00504700"/>
    <w:rsid w:val="00507BE4"/>
    <w:rsid w:val="0051148F"/>
    <w:rsid w:val="00511E3D"/>
    <w:rsid w:val="00514913"/>
    <w:rsid w:val="0051612F"/>
    <w:rsid w:val="005329C1"/>
    <w:rsid w:val="005330B3"/>
    <w:rsid w:val="00540980"/>
    <w:rsid w:val="00540B69"/>
    <w:rsid w:val="005429B9"/>
    <w:rsid w:val="00544F26"/>
    <w:rsid w:val="00555CA9"/>
    <w:rsid w:val="005636C0"/>
    <w:rsid w:val="005669FC"/>
    <w:rsid w:val="0057441F"/>
    <w:rsid w:val="00576D3A"/>
    <w:rsid w:val="0058577A"/>
    <w:rsid w:val="005A7968"/>
    <w:rsid w:val="005B084E"/>
    <w:rsid w:val="005B2967"/>
    <w:rsid w:val="005B768A"/>
    <w:rsid w:val="005C04CE"/>
    <w:rsid w:val="005C7303"/>
    <w:rsid w:val="005D75B0"/>
    <w:rsid w:val="005D7F68"/>
    <w:rsid w:val="005E01AD"/>
    <w:rsid w:val="005F0559"/>
    <w:rsid w:val="005F2481"/>
    <w:rsid w:val="00600771"/>
    <w:rsid w:val="00610D31"/>
    <w:rsid w:val="006149EA"/>
    <w:rsid w:val="00615D55"/>
    <w:rsid w:val="00626284"/>
    <w:rsid w:val="00626361"/>
    <w:rsid w:val="00636A65"/>
    <w:rsid w:val="00640B70"/>
    <w:rsid w:val="006445EB"/>
    <w:rsid w:val="00646992"/>
    <w:rsid w:val="00646A03"/>
    <w:rsid w:val="00646A69"/>
    <w:rsid w:val="00662344"/>
    <w:rsid w:val="00676268"/>
    <w:rsid w:val="006869F7"/>
    <w:rsid w:val="006C6515"/>
    <w:rsid w:val="006E1142"/>
    <w:rsid w:val="007114B8"/>
    <w:rsid w:val="007157F6"/>
    <w:rsid w:val="00726451"/>
    <w:rsid w:val="00730E35"/>
    <w:rsid w:val="007317F8"/>
    <w:rsid w:val="0073776C"/>
    <w:rsid w:val="00743BAB"/>
    <w:rsid w:val="00747E78"/>
    <w:rsid w:val="0075493D"/>
    <w:rsid w:val="00756FA8"/>
    <w:rsid w:val="007661DC"/>
    <w:rsid w:val="00766E2C"/>
    <w:rsid w:val="00771E63"/>
    <w:rsid w:val="0077382D"/>
    <w:rsid w:val="00777D1E"/>
    <w:rsid w:val="007909F2"/>
    <w:rsid w:val="007B383C"/>
    <w:rsid w:val="007B48C0"/>
    <w:rsid w:val="007B5B2B"/>
    <w:rsid w:val="007E0E2D"/>
    <w:rsid w:val="007E1FC8"/>
    <w:rsid w:val="007E208C"/>
    <w:rsid w:val="007F4B1F"/>
    <w:rsid w:val="0080718E"/>
    <w:rsid w:val="00807711"/>
    <w:rsid w:val="00811185"/>
    <w:rsid w:val="00815E75"/>
    <w:rsid w:val="00816D41"/>
    <w:rsid w:val="00833FE8"/>
    <w:rsid w:val="008472A6"/>
    <w:rsid w:val="008548B3"/>
    <w:rsid w:val="00856322"/>
    <w:rsid w:val="00857E62"/>
    <w:rsid w:val="008605D9"/>
    <w:rsid w:val="00861CEE"/>
    <w:rsid w:val="008706F0"/>
    <w:rsid w:val="00872ADE"/>
    <w:rsid w:val="00874F6D"/>
    <w:rsid w:val="0087627C"/>
    <w:rsid w:val="00880C06"/>
    <w:rsid w:val="00886CA2"/>
    <w:rsid w:val="00890C7F"/>
    <w:rsid w:val="00892246"/>
    <w:rsid w:val="00893660"/>
    <w:rsid w:val="0089408B"/>
    <w:rsid w:val="008A0EA9"/>
    <w:rsid w:val="008A2EC2"/>
    <w:rsid w:val="008A5CEC"/>
    <w:rsid w:val="008B2E57"/>
    <w:rsid w:val="008B7785"/>
    <w:rsid w:val="008D70FB"/>
    <w:rsid w:val="008F09A1"/>
    <w:rsid w:val="008F62FC"/>
    <w:rsid w:val="008F7048"/>
    <w:rsid w:val="0090103F"/>
    <w:rsid w:val="00903192"/>
    <w:rsid w:val="009034E3"/>
    <w:rsid w:val="00913C98"/>
    <w:rsid w:val="00914025"/>
    <w:rsid w:val="0091435F"/>
    <w:rsid w:val="00917C7D"/>
    <w:rsid w:val="00921076"/>
    <w:rsid w:val="00931C51"/>
    <w:rsid w:val="00932410"/>
    <w:rsid w:val="00947C3F"/>
    <w:rsid w:val="009570DD"/>
    <w:rsid w:val="00965B89"/>
    <w:rsid w:val="00971D49"/>
    <w:rsid w:val="00972F4B"/>
    <w:rsid w:val="00973F49"/>
    <w:rsid w:val="00976A34"/>
    <w:rsid w:val="00987A5D"/>
    <w:rsid w:val="009914FA"/>
    <w:rsid w:val="0099205F"/>
    <w:rsid w:val="00992DAE"/>
    <w:rsid w:val="00992EF6"/>
    <w:rsid w:val="009955CA"/>
    <w:rsid w:val="009A23B8"/>
    <w:rsid w:val="009A61CD"/>
    <w:rsid w:val="009A78EC"/>
    <w:rsid w:val="009B233F"/>
    <w:rsid w:val="009C2C8F"/>
    <w:rsid w:val="009D3059"/>
    <w:rsid w:val="009D6736"/>
    <w:rsid w:val="009D6CF1"/>
    <w:rsid w:val="009E2821"/>
    <w:rsid w:val="009F40FF"/>
    <w:rsid w:val="00A00466"/>
    <w:rsid w:val="00A05D45"/>
    <w:rsid w:val="00A17274"/>
    <w:rsid w:val="00A17B4F"/>
    <w:rsid w:val="00A31F1F"/>
    <w:rsid w:val="00A411DC"/>
    <w:rsid w:val="00A41FD2"/>
    <w:rsid w:val="00A544BB"/>
    <w:rsid w:val="00A55F05"/>
    <w:rsid w:val="00A70EEE"/>
    <w:rsid w:val="00A71F29"/>
    <w:rsid w:val="00A736EB"/>
    <w:rsid w:val="00A741D0"/>
    <w:rsid w:val="00A84F9C"/>
    <w:rsid w:val="00AB4A8C"/>
    <w:rsid w:val="00AB4E58"/>
    <w:rsid w:val="00AC2B2E"/>
    <w:rsid w:val="00AC4661"/>
    <w:rsid w:val="00AD0870"/>
    <w:rsid w:val="00AF1654"/>
    <w:rsid w:val="00AF40C0"/>
    <w:rsid w:val="00AF67D4"/>
    <w:rsid w:val="00B002D3"/>
    <w:rsid w:val="00B0685E"/>
    <w:rsid w:val="00B12373"/>
    <w:rsid w:val="00B2067B"/>
    <w:rsid w:val="00B22046"/>
    <w:rsid w:val="00B23579"/>
    <w:rsid w:val="00B268D9"/>
    <w:rsid w:val="00B27D7D"/>
    <w:rsid w:val="00B3323E"/>
    <w:rsid w:val="00B36B2A"/>
    <w:rsid w:val="00B37E04"/>
    <w:rsid w:val="00B40658"/>
    <w:rsid w:val="00B40AC7"/>
    <w:rsid w:val="00B40CA9"/>
    <w:rsid w:val="00B42BF3"/>
    <w:rsid w:val="00B44019"/>
    <w:rsid w:val="00B51DD2"/>
    <w:rsid w:val="00B56FC0"/>
    <w:rsid w:val="00B62136"/>
    <w:rsid w:val="00B7512D"/>
    <w:rsid w:val="00B77FCE"/>
    <w:rsid w:val="00B83CFB"/>
    <w:rsid w:val="00B84F59"/>
    <w:rsid w:val="00B87258"/>
    <w:rsid w:val="00B95266"/>
    <w:rsid w:val="00B97A82"/>
    <w:rsid w:val="00BA3500"/>
    <w:rsid w:val="00BA7343"/>
    <w:rsid w:val="00BB223E"/>
    <w:rsid w:val="00BB7A75"/>
    <w:rsid w:val="00BC26F3"/>
    <w:rsid w:val="00BD0983"/>
    <w:rsid w:val="00BE0FD5"/>
    <w:rsid w:val="00BE3840"/>
    <w:rsid w:val="00BE667B"/>
    <w:rsid w:val="00BF10F1"/>
    <w:rsid w:val="00C019BD"/>
    <w:rsid w:val="00C02B06"/>
    <w:rsid w:val="00C04095"/>
    <w:rsid w:val="00C06CC1"/>
    <w:rsid w:val="00C07E42"/>
    <w:rsid w:val="00C11969"/>
    <w:rsid w:val="00C17F68"/>
    <w:rsid w:val="00C23995"/>
    <w:rsid w:val="00C2756A"/>
    <w:rsid w:val="00C359D2"/>
    <w:rsid w:val="00C501EF"/>
    <w:rsid w:val="00C65135"/>
    <w:rsid w:val="00C71DDE"/>
    <w:rsid w:val="00C77B51"/>
    <w:rsid w:val="00C91B52"/>
    <w:rsid w:val="00CA4110"/>
    <w:rsid w:val="00CA6742"/>
    <w:rsid w:val="00CB5133"/>
    <w:rsid w:val="00CB6822"/>
    <w:rsid w:val="00CC1A3B"/>
    <w:rsid w:val="00CC78CE"/>
    <w:rsid w:val="00CD3394"/>
    <w:rsid w:val="00CE0CA6"/>
    <w:rsid w:val="00CE2237"/>
    <w:rsid w:val="00CE7B40"/>
    <w:rsid w:val="00CF242B"/>
    <w:rsid w:val="00CF25CA"/>
    <w:rsid w:val="00D0130E"/>
    <w:rsid w:val="00D01784"/>
    <w:rsid w:val="00D13E20"/>
    <w:rsid w:val="00D17ABD"/>
    <w:rsid w:val="00D250DA"/>
    <w:rsid w:val="00D26160"/>
    <w:rsid w:val="00D31C35"/>
    <w:rsid w:val="00D44FEF"/>
    <w:rsid w:val="00D47D9C"/>
    <w:rsid w:val="00D747B9"/>
    <w:rsid w:val="00D75AC8"/>
    <w:rsid w:val="00D76E5C"/>
    <w:rsid w:val="00D85208"/>
    <w:rsid w:val="00D90BAD"/>
    <w:rsid w:val="00D94745"/>
    <w:rsid w:val="00D9600B"/>
    <w:rsid w:val="00DA27D4"/>
    <w:rsid w:val="00DA469C"/>
    <w:rsid w:val="00DB3C8C"/>
    <w:rsid w:val="00DB5E54"/>
    <w:rsid w:val="00DC4CA6"/>
    <w:rsid w:val="00DC53C9"/>
    <w:rsid w:val="00DC7D14"/>
    <w:rsid w:val="00DD4B8B"/>
    <w:rsid w:val="00DE772F"/>
    <w:rsid w:val="00DE7C86"/>
    <w:rsid w:val="00DF2BD7"/>
    <w:rsid w:val="00DF7730"/>
    <w:rsid w:val="00E001CA"/>
    <w:rsid w:val="00E00C5A"/>
    <w:rsid w:val="00E0189F"/>
    <w:rsid w:val="00E351E3"/>
    <w:rsid w:val="00E35442"/>
    <w:rsid w:val="00E3626C"/>
    <w:rsid w:val="00E4416B"/>
    <w:rsid w:val="00E47592"/>
    <w:rsid w:val="00E5639D"/>
    <w:rsid w:val="00E60771"/>
    <w:rsid w:val="00E60D52"/>
    <w:rsid w:val="00E644AB"/>
    <w:rsid w:val="00E71922"/>
    <w:rsid w:val="00E765CD"/>
    <w:rsid w:val="00E9223F"/>
    <w:rsid w:val="00EA7D7F"/>
    <w:rsid w:val="00EB1C9F"/>
    <w:rsid w:val="00EB2BB0"/>
    <w:rsid w:val="00EC106A"/>
    <w:rsid w:val="00ED7CBA"/>
    <w:rsid w:val="00EE313F"/>
    <w:rsid w:val="00F01903"/>
    <w:rsid w:val="00F043EF"/>
    <w:rsid w:val="00F10ACF"/>
    <w:rsid w:val="00F12ACA"/>
    <w:rsid w:val="00F23825"/>
    <w:rsid w:val="00F2396E"/>
    <w:rsid w:val="00F23B28"/>
    <w:rsid w:val="00F25005"/>
    <w:rsid w:val="00F25780"/>
    <w:rsid w:val="00F26443"/>
    <w:rsid w:val="00F27F66"/>
    <w:rsid w:val="00F3202D"/>
    <w:rsid w:val="00F36F46"/>
    <w:rsid w:val="00F40D63"/>
    <w:rsid w:val="00F4411A"/>
    <w:rsid w:val="00F7312B"/>
    <w:rsid w:val="00F757BF"/>
    <w:rsid w:val="00F75D5B"/>
    <w:rsid w:val="00F912CC"/>
    <w:rsid w:val="00F95FB9"/>
    <w:rsid w:val="00FB2ACF"/>
    <w:rsid w:val="00FC2AEA"/>
    <w:rsid w:val="00FC345C"/>
    <w:rsid w:val="00FC3F75"/>
    <w:rsid w:val="00FD0A56"/>
    <w:rsid w:val="00FD1DCA"/>
    <w:rsid w:val="00FD7AC9"/>
    <w:rsid w:val="00FE5B09"/>
    <w:rsid w:val="00FF3014"/>
    <w:rsid w:val="00FF3315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FE9C10"/>
  <w15:docId w15:val="{240E48AD-B8F8-4ECB-8FAF-E2109CB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C51"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1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91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14"/>
    <w:rPr>
      <w:sz w:val="16"/>
      <w:szCs w:val="16"/>
    </w:rPr>
  </w:style>
  <w:style w:type="paragraph" w:customStyle="1" w:styleId="Normal0">
    <w:name w:val="Normal_0"/>
    <w:basedOn w:val="Normalny"/>
    <w:rsid w:val="008B7785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15D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5D55"/>
  </w:style>
  <w:style w:type="character" w:customStyle="1" w:styleId="Nagwek2Znak">
    <w:name w:val="Nagłówek 2 Znak"/>
    <w:basedOn w:val="Domylnaczcionkaakapitu"/>
    <w:link w:val="Nagwek2"/>
    <w:rsid w:val="00391A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91A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nhideWhenUsed/>
    <w:rsid w:val="00391A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1A1C"/>
  </w:style>
  <w:style w:type="paragraph" w:styleId="Tekstpodstawowywcity2">
    <w:name w:val="Body Text Indent 2"/>
    <w:basedOn w:val="Normalny"/>
    <w:link w:val="Tekstpodstawowywcity2Znak"/>
    <w:unhideWhenUsed/>
    <w:rsid w:val="00391A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1A1C"/>
  </w:style>
  <w:style w:type="numbering" w:customStyle="1" w:styleId="Bezlisty1">
    <w:name w:val="Bez listy1"/>
    <w:next w:val="Bezlisty"/>
    <w:uiPriority w:val="99"/>
    <w:semiHidden/>
    <w:unhideWhenUsed/>
    <w:rsid w:val="00391A1C"/>
  </w:style>
  <w:style w:type="paragraph" w:customStyle="1" w:styleId="tekstost">
    <w:name w:val="tekst ost"/>
    <w:basedOn w:val="Normalny"/>
    <w:rsid w:val="00391A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A21A-4E1D-4B69-9ACB-9F18A60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12144</Words>
  <Characters>72866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esopinka</cp:lastModifiedBy>
  <cp:revision>36</cp:revision>
  <cp:lastPrinted>2019-10-25T12:58:00Z</cp:lastPrinted>
  <dcterms:created xsi:type="dcterms:W3CDTF">2019-10-10T12:51:00Z</dcterms:created>
  <dcterms:modified xsi:type="dcterms:W3CDTF">2019-12-02T14:11:00Z</dcterms:modified>
</cp:coreProperties>
</file>